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26E8" w14:textId="77777777" w:rsidR="00FC764B" w:rsidRPr="00D43A69" w:rsidRDefault="00FC764B" w:rsidP="00D43A69">
      <w:pPr>
        <w:spacing w:after="0" w:line="320" w:lineRule="atLeast"/>
        <w:jc w:val="center"/>
        <w:rPr>
          <w:b/>
        </w:rPr>
      </w:pPr>
    </w:p>
    <w:p w14:paraId="1699326E" w14:textId="77777777" w:rsidR="002B0F1F" w:rsidRPr="00D43A69" w:rsidRDefault="002B0F1F" w:rsidP="00D43A69">
      <w:pPr>
        <w:spacing w:after="0" w:line="320" w:lineRule="atLeast"/>
        <w:jc w:val="center"/>
        <w:rPr>
          <w:b/>
        </w:rPr>
      </w:pPr>
    </w:p>
    <w:p w14:paraId="0E305685" w14:textId="6BB3C86D" w:rsidR="009100B5" w:rsidRPr="0078463C" w:rsidRDefault="00261527" w:rsidP="00D43A69">
      <w:pPr>
        <w:spacing w:after="0" w:line="320" w:lineRule="atLeast"/>
        <w:jc w:val="center"/>
        <w:rPr>
          <w:rFonts w:asciiTheme="majorHAnsi" w:hAnsiTheme="majorHAnsi" w:cstheme="majorHAnsi"/>
          <w:b/>
        </w:rPr>
      </w:pPr>
      <w:r w:rsidRPr="0078463C">
        <w:rPr>
          <w:rFonts w:asciiTheme="majorHAnsi" w:hAnsiTheme="majorHAnsi" w:cstheme="majorHAnsi"/>
          <w:b/>
        </w:rPr>
        <w:t>RESOLUCIÓ</w:t>
      </w:r>
      <w:r w:rsidR="00FC764B" w:rsidRPr="0078463C">
        <w:rPr>
          <w:rFonts w:asciiTheme="majorHAnsi" w:hAnsiTheme="majorHAnsi" w:cstheme="majorHAnsi"/>
          <w:b/>
        </w:rPr>
        <w:t xml:space="preserve">N DE </w:t>
      </w:r>
      <w:r w:rsidR="00CB2943" w:rsidRPr="0078463C">
        <w:rPr>
          <w:rFonts w:asciiTheme="majorHAnsi" w:hAnsiTheme="majorHAnsi" w:cstheme="majorHAnsi"/>
          <w:b/>
        </w:rPr>
        <w:t xml:space="preserve">INICIO Y </w:t>
      </w:r>
      <w:r w:rsidR="002053E6" w:rsidRPr="0078463C">
        <w:rPr>
          <w:rFonts w:asciiTheme="majorHAnsi" w:hAnsiTheme="majorHAnsi" w:cstheme="majorHAnsi"/>
          <w:b/>
        </w:rPr>
        <w:t xml:space="preserve">ADJUDICACIÓN </w:t>
      </w:r>
      <w:r w:rsidR="00FC764B" w:rsidRPr="0078463C">
        <w:rPr>
          <w:rFonts w:asciiTheme="majorHAnsi" w:hAnsiTheme="majorHAnsi" w:cstheme="majorHAnsi"/>
          <w:b/>
        </w:rPr>
        <w:t xml:space="preserve">DEL </w:t>
      </w:r>
      <w:r w:rsidR="00523F47" w:rsidRPr="0078463C">
        <w:rPr>
          <w:rFonts w:asciiTheme="majorHAnsi" w:hAnsiTheme="majorHAnsi" w:cstheme="majorHAnsi"/>
          <w:b/>
        </w:rPr>
        <w:t xml:space="preserve">CONTRATO BASADO EN EL ACUERDO MARCO PARA LA PRESTACIÓN DEL SERVICIO </w:t>
      </w:r>
      <w:r w:rsidR="000439D7" w:rsidRPr="002C07EE">
        <w:rPr>
          <w:rFonts w:asciiTheme="majorHAnsi" w:hAnsiTheme="majorHAnsi" w:cstheme="majorHAnsi"/>
          <w:b/>
        </w:rPr>
        <w:t>DE ASISTENCIA TÉCNICA PARA LA INSPECCIÓN TRIBUTARIA Y PROCEDIMIENTO SANCIONADOR POR INFRACCIONES TRIBUTARIAS A TRAVÉS DE LA CENTRAL DE CONTRATACIÓN DE LA FEMP</w:t>
      </w:r>
    </w:p>
    <w:p w14:paraId="6F73DFE7" w14:textId="77777777" w:rsidR="00241F04" w:rsidRPr="0078463C" w:rsidRDefault="00241F04" w:rsidP="00D43A69">
      <w:pPr>
        <w:spacing w:after="0" w:line="320" w:lineRule="atLeast"/>
        <w:rPr>
          <w:rFonts w:asciiTheme="majorHAnsi" w:hAnsiTheme="majorHAnsi" w:cstheme="majorHAnsi"/>
        </w:rPr>
      </w:pPr>
    </w:p>
    <w:p w14:paraId="4B619039" w14:textId="77777777" w:rsidR="00D43A69" w:rsidRPr="0078463C" w:rsidRDefault="00D43A69" w:rsidP="00D43A69">
      <w:pPr>
        <w:spacing w:after="0" w:line="320" w:lineRule="atLeast"/>
        <w:rPr>
          <w:rFonts w:asciiTheme="majorHAnsi" w:hAnsiTheme="majorHAnsi" w:cstheme="majorHAnsi"/>
        </w:rPr>
      </w:pPr>
    </w:p>
    <w:p w14:paraId="25B61151" w14:textId="77777777" w:rsidR="00D9591E" w:rsidRPr="002C07EE" w:rsidRDefault="00D9591E" w:rsidP="00D9591E">
      <w:pPr>
        <w:spacing w:after="0" w:line="320" w:lineRule="atLeast"/>
        <w:jc w:val="both"/>
        <w:rPr>
          <w:rFonts w:asciiTheme="majorHAnsi" w:hAnsiTheme="majorHAnsi" w:cstheme="majorHAnsi"/>
          <w:i/>
          <w:iCs/>
        </w:rPr>
      </w:pPr>
      <w:r w:rsidRPr="002C07EE">
        <w:rPr>
          <w:rFonts w:asciiTheme="majorHAnsi" w:hAnsiTheme="majorHAnsi" w:cstheme="majorHAnsi"/>
          <w:b/>
        </w:rPr>
        <w:t xml:space="preserve">Número de expediente: </w:t>
      </w:r>
      <w:r w:rsidRPr="00546C25">
        <w:rPr>
          <w:rFonts w:asciiTheme="majorHAnsi" w:hAnsiTheme="majorHAnsi" w:cstheme="majorHAnsi"/>
          <w:highlight w:val="lightGray"/>
        </w:rPr>
        <w:t xml:space="preserve">Incluir por la Entidad Local [●] </w:t>
      </w:r>
      <w:r w:rsidRPr="00546C25">
        <w:rPr>
          <w:rFonts w:asciiTheme="majorHAnsi" w:hAnsiTheme="majorHAnsi" w:cstheme="majorHAnsi"/>
          <w:i/>
          <w:iCs/>
          <w:highlight w:val="lightGray"/>
        </w:rPr>
        <w:t>(Indicar si es el nº de la Plataforma o interno de la entidad o indicar ambos).</w:t>
      </w:r>
    </w:p>
    <w:p w14:paraId="54C31057" w14:textId="77777777" w:rsidR="00D9591E" w:rsidRPr="002C07EE" w:rsidRDefault="00D9591E" w:rsidP="00D9591E">
      <w:pPr>
        <w:spacing w:after="0" w:line="320" w:lineRule="atLeast"/>
        <w:jc w:val="both"/>
        <w:rPr>
          <w:rFonts w:asciiTheme="majorHAnsi" w:hAnsiTheme="majorHAnsi" w:cstheme="majorHAnsi"/>
        </w:rPr>
      </w:pPr>
    </w:p>
    <w:p w14:paraId="5A56B11F" w14:textId="77777777" w:rsidR="00D9591E" w:rsidRPr="002C07EE" w:rsidRDefault="00D9591E" w:rsidP="00D9591E">
      <w:pPr>
        <w:spacing w:after="0" w:line="320" w:lineRule="atLeast"/>
        <w:jc w:val="both"/>
        <w:rPr>
          <w:rFonts w:asciiTheme="majorHAnsi" w:hAnsiTheme="majorHAnsi" w:cstheme="majorHAnsi"/>
        </w:rPr>
      </w:pPr>
      <w:r w:rsidRPr="002C07EE">
        <w:rPr>
          <w:rFonts w:asciiTheme="majorHAnsi" w:hAnsiTheme="majorHAnsi" w:cstheme="majorHAnsi"/>
          <w:b/>
        </w:rPr>
        <w:t xml:space="preserve">Título: </w:t>
      </w:r>
      <w:r w:rsidRPr="002C07EE">
        <w:rPr>
          <w:rFonts w:asciiTheme="majorHAnsi" w:hAnsiTheme="majorHAnsi" w:cstheme="majorHAnsi"/>
        </w:rPr>
        <w:t xml:space="preserve">Servicio de asistencia técnica para la inspección tributaria y procedimiento sancionador por infracciones tributarias de </w:t>
      </w:r>
      <w:r w:rsidRPr="002C07EE">
        <w:rPr>
          <w:rFonts w:asciiTheme="majorHAnsi" w:hAnsiTheme="majorHAnsi" w:cstheme="majorHAnsi"/>
          <w:i/>
          <w:iCs/>
        </w:rPr>
        <w:t>[</w:t>
      </w:r>
      <w:r w:rsidRPr="00546C25">
        <w:rPr>
          <w:rFonts w:asciiTheme="majorHAnsi" w:hAnsiTheme="majorHAnsi" w:cstheme="majorHAnsi"/>
          <w:i/>
          <w:iCs/>
          <w:highlight w:val="lightGray"/>
        </w:rPr>
        <w:t>ENTIDAD LOCAL/ENTE DEPENDIENTE]</w:t>
      </w:r>
    </w:p>
    <w:p w14:paraId="4AD5D218" w14:textId="77777777" w:rsidR="00D9591E" w:rsidRPr="002C07EE" w:rsidRDefault="00D9591E" w:rsidP="00D9591E">
      <w:pPr>
        <w:spacing w:after="0" w:line="320" w:lineRule="atLeast"/>
        <w:jc w:val="both"/>
        <w:rPr>
          <w:rFonts w:asciiTheme="majorHAnsi" w:hAnsiTheme="majorHAnsi" w:cstheme="majorHAnsi"/>
        </w:rPr>
      </w:pPr>
    </w:p>
    <w:p w14:paraId="07E9C8C6" w14:textId="77777777" w:rsidR="00D9591E" w:rsidRPr="002C07EE" w:rsidRDefault="00D9591E" w:rsidP="00D9591E">
      <w:pPr>
        <w:spacing w:after="0" w:line="320" w:lineRule="atLeast"/>
        <w:jc w:val="both"/>
        <w:rPr>
          <w:rFonts w:asciiTheme="majorHAnsi" w:hAnsiTheme="majorHAnsi" w:cstheme="majorHAnsi"/>
        </w:rPr>
      </w:pPr>
      <w:r w:rsidRPr="002C07EE">
        <w:rPr>
          <w:rFonts w:asciiTheme="majorHAnsi" w:hAnsiTheme="majorHAnsi" w:cstheme="majorHAnsi"/>
          <w:b/>
        </w:rPr>
        <w:t xml:space="preserve">Indicar lote: </w:t>
      </w:r>
      <w:r w:rsidRPr="00546C25">
        <w:rPr>
          <w:rFonts w:asciiTheme="majorHAnsi" w:hAnsiTheme="majorHAnsi" w:cstheme="majorHAnsi"/>
          <w:i/>
          <w:iCs/>
          <w:highlight w:val="lightGray"/>
        </w:rPr>
        <w:t>[***] [Consultar PCA]</w:t>
      </w:r>
    </w:p>
    <w:p w14:paraId="2EC8168B" w14:textId="77777777" w:rsidR="00D9591E" w:rsidRPr="002C07EE" w:rsidRDefault="00D9591E" w:rsidP="00D9591E">
      <w:pPr>
        <w:spacing w:after="0" w:line="320" w:lineRule="atLeast"/>
        <w:jc w:val="both"/>
        <w:rPr>
          <w:rFonts w:asciiTheme="majorHAnsi" w:hAnsiTheme="majorHAnsi" w:cstheme="majorHAnsi"/>
        </w:rPr>
      </w:pPr>
    </w:p>
    <w:p w14:paraId="4D159854" w14:textId="77777777" w:rsidR="00D9591E" w:rsidRPr="002C07EE" w:rsidRDefault="00D9591E" w:rsidP="00D9591E">
      <w:pPr>
        <w:spacing w:after="0" w:line="320" w:lineRule="atLeast"/>
        <w:jc w:val="both"/>
        <w:rPr>
          <w:rFonts w:asciiTheme="majorHAnsi" w:hAnsiTheme="majorHAnsi" w:cstheme="majorHAnsi"/>
        </w:rPr>
      </w:pPr>
      <w:r w:rsidRPr="002C07EE">
        <w:rPr>
          <w:rFonts w:asciiTheme="majorHAnsi" w:hAnsiTheme="majorHAnsi" w:cstheme="majorHAnsi"/>
          <w:b/>
        </w:rPr>
        <w:t>Tipo de Contrato:</w:t>
      </w:r>
      <w:r w:rsidRPr="002C07EE">
        <w:rPr>
          <w:rFonts w:asciiTheme="majorHAnsi" w:hAnsiTheme="majorHAnsi" w:cstheme="majorHAnsi"/>
        </w:rPr>
        <w:t xml:space="preserve"> Contrato basado en el Acuerdo Marco para la prestación del servicio de asistencia técnica para la inspección tributaria y procedimiento sancionador por infracciones tributarias a través de la Central de Contratación de la FEMP (</w:t>
      </w:r>
      <w:r w:rsidRPr="00546C25">
        <w:rPr>
          <w:rFonts w:asciiTheme="majorHAnsi" w:hAnsiTheme="majorHAnsi" w:cstheme="majorHAnsi"/>
          <w:highlight w:val="lightGray"/>
        </w:rPr>
        <w:t>Lote [●]).</w:t>
      </w:r>
    </w:p>
    <w:p w14:paraId="04647361" w14:textId="77777777" w:rsidR="002053E6" w:rsidRPr="0078463C" w:rsidRDefault="002053E6" w:rsidP="00D43A69">
      <w:pPr>
        <w:spacing w:after="0" w:line="320" w:lineRule="atLeast"/>
        <w:rPr>
          <w:rFonts w:asciiTheme="majorHAnsi" w:hAnsiTheme="majorHAnsi" w:cstheme="majorHAnsi"/>
        </w:rPr>
      </w:pPr>
    </w:p>
    <w:p w14:paraId="1CAB127A" w14:textId="77777777" w:rsidR="00241F04" w:rsidRPr="0078463C" w:rsidRDefault="00241F04" w:rsidP="00D43A69">
      <w:pPr>
        <w:spacing w:after="0" w:line="320" w:lineRule="atLeast"/>
        <w:rPr>
          <w:rFonts w:asciiTheme="majorHAnsi" w:hAnsiTheme="majorHAnsi" w:cstheme="majorHAnsi"/>
        </w:rPr>
      </w:pPr>
    </w:p>
    <w:p w14:paraId="69F09BAC" w14:textId="77777777" w:rsidR="00FC764B" w:rsidRPr="0078463C" w:rsidRDefault="002053E6" w:rsidP="00D43A69">
      <w:pPr>
        <w:spacing w:after="0" w:line="320" w:lineRule="atLeast"/>
        <w:jc w:val="center"/>
        <w:rPr>
          <w:rFonts w:asciiTheme="majorHAnsi" w:hAnsiTheme="majorHAnsi" w:cstheme="majorHAnsi"/>
          <w:b/>
          <w:u w:val="single"/>
        </w:rPr>
      </w:pPr>
      <w:r w:rsidRPr="0078463C">
        <w:rPr>
          <w:rFonts w:asciiTheme="majorHAnsi" w:hAnsiTheme="majorHAnsi" w:cstheme="majorHAnsi"/>
          <w:b/>
          <w:u w:val="single"/>
        </w:rPr>
        <w:t>ANTECEDENTES</w:t>
      </w:r>
    </w:p>
    <w:p w14:paraId="4E910F04" w14:textId="77777777" w:rsidR="00241F04" w:rsidRPr="0078463C" w:rsidRDefault="00241F04" w:rsidP="00D43A69">
      <w:pPr>
        <w:spacing w:after="0" w:line="320" w:lineRule="atLeast"/>
        <w:jc w:val="center"/>
        <w:rPr>
          <w:rFonts w:asciiTheme="majorHAnsi" w:hAnsiTheme="majorHAnsi" w:cstheme="majorHAnsi"/>
          <w:b/>
          <w:u w:val="single"/>
        </w:rPr>
      </w:pPr>
    </w:p>
    <w:p w14:paraId="2DF9FE1F" w14:textId="77777777" w:rsidR="00D15D59" w:rsidRPr="0078463C" w:rsidRDefault="00D15D59" w:rsidP="00D43A69">
      <w:pPr>
        <w:spacing w:after="0" w:line="320" w:lineRule="atLeast"/>
        <w:jc w:val="center"/>
        <w:rPr>
          <w:rFonts w:asciiTheme="majorHAnsi" w:hAnsiTheme="majorHAnsi" w:cstheme="majorHAnsi"/>
          <w:b/>
          <w:u w:val="single"/>
        </w:rPr>
      </w:pPr>
    </w:p>
    <w:p w14:paraId="458CD772" w14:textId="77777777" w:rsidR="00570C89" w:rsidRPr="0078463C" w:rsidRDefault="00570C89" w:rsidP="00570C89">
      <w:pPr>
        <w:pStyle w:val="Prrafodelista"/>
        <w:numPr>
          <w:ilvl w:val="0"/>
          <w:numId w:val="9"/>
        </w:numPr>
        <w:spacing w:after="0" w:line="320" w:lineRule="atLeast"/>
        <w:jc w:val="both"/>
        <w:rPr>
          <w:rFonts w:asciiTheme="majorHAnsi" w:hAnsiTheme="majorHAnsi" w:cstheme="majorHAnsi"/>
        </w:rPr>
      </w:pPr>
      <w:r w:rsidRPr="0078463C">
        <w:rPr>
          <w:rFonts w:asciiTheme="majorHAnsi" w:hAnsiTheme="majorHAnsi" w:cstheme="majorHAnsi"/>
          <w:u w:val="single"/>
        </w:rPr>
        <w:t>Adhesión a la Central de Contratación de la FEMP</w:t>
      </w:r>
      <w:r w:rsidRPr="0078463C">
        <w:rPr>
          <w:rFonts w:asciiTheme="majorHAnsi" w:hAnsiTheme="majorHAnsi" w:cstheme="majorHAnsi"/>
        </w:rPr>
        <w:t>: Conforme al acuerdo de pleno de fecha (</w:t>
      </w:r>
      <w:r w:rsidRPr="004D500E">
        <w:rPr>
          <w:rFonts w:asciiTheme="majorHAnsi" w:hAnsiTheme="majorHAnsi" w:cstheme="majorHAnsi"/>
          <w:i/>
          <w:highlight w:val="lightGray"/>
          <w:u w:val="single"/>
        </w:rPr>
        <w:t>Completar por la Entidad Local</w:t>
      </w:r>
      <w:r w:rsidRPr="0078463C">
        <w:rPr>
          <w:rFonts w:asciiTheme="majorHAnsi" w:hAnsiTheme="majorHAnsi" w:cstheme="majorHAnsi"/>
          <w:i/>
          <w:u w:val="single"/>
        </w:rPr>
        <w:t>)</w:t>
      </w:r>
      <w:r w:rsidRPr="0078463C">
        <w:rPr>
          <w:rFonts w:asciiTheme="majorHAnsi" w:hAnsiTheme="majorHAnsi" w:cstheme="majorHAnsi"/>
          <w:i/>
        </w:rPr>
        <w:t>,</w:t>
      </w:r>
      <w:r w:rsidRPr="0078463C">
        <w:rPr>
          <w:rFonts w:asciiTheme="majorHAnsi" w:hAnsiTheme="majorHAnsi" w:cstheme="majorHAnsi"/>
        </w:rPr>
        <w:t xml:space="preserve"> la Entidad Local se encuentra adherida a la Central de Contratación de la FEMP, que se constituye como un sistema de racionalización de la contratación al servicio de sus entidades locales asociadas.</w:t>
      </w:r>
    </w:p>
    <w:p w14:paraId="7749ABD7" w14:textId="6E1F65AF" w:rsidR="00570C89" w:rsidRPr="0078463C" w:rsidRDefault="00570C89" w:rsidP="0093430A">
      <w:pPr>
        <w:pStyle w:val="Prrafodelista"/>
        <w:spacing w:after="0" w:line="320" w:lineRule="atLeast"/>
        <w:ind w:left="360"/>
        <w:jc w:val="both"/>
        <w:rPr>
          <w:rFonts w:asciiTheme="majorHAnsi" w:hAnsiTheme="majorHAnsi" w:cstheme="majorHAnsi"/>
        </w:rPr>
      </w:pPr>
    </w:p>
    <w:p w14:paraId="23609457" w14:textId="48588798" w:rsidR="00E059AD" w:rsidRPr="00E059AD" w:rsidRDefault="004117BB" w:rsidP="00E059AD">
      <w:pPr>
        <w:pStyle w:val="Prrafodelista"/>
        <w:numPr>
          <w:ilvl w:val="0"/>
          <w:numId w:val="9"/>
        </w:numPr>
        <w:spacing w:after="0" w:line="320" w:lineRule="atLeast"/>
        <w:jc w:val="both"/>
        <w:rPr>
          <w:rFonts w:asciiTheme="majorHAnsi" w:hAnsiTheme="majorHAnsi" w:cstheme="majorHAnsi"/>
        </w:rPr>
      </w:pPr>
      <w:r w:rsidRPr="0078463C">
        <w:rPr>
          <w:rFonts w:asciiTheme="majorHAnsi" w:hAnsiTheme="majorHAnsi" w:cstheme="majorHAnsi"/>
          <w:u w:val="single"/>
        </w:rPr>
        <w:t>Memoria justificativa de las necesidades del servicio</w:t>
      </w:r>
      <w:r w:rsidRPr="0078463C">
        <w:rPr>
          <w:rFonts w:asciiTheme="majorHAnsi" w:hAnsiTheme="majorHAnsi" w:cstheme="majorHAnsi"/>
        </w:rPr>
        <w:t xml:space="preserve">: </w:t>
      </w:r>
      <w:r w:rsidR="00241F04" w:rsidRPr="0078463C">
        <w:rPr>
          <w:rFonts w:asciiTheme="majorHAnsi" w:hAnsiTheme="majorHAnsi" w:cstheme="majorHAnsi"/>
        </w:rPr>
        <w:t>Visto</w:t>
      </w:r>
      <w:r w:rsidR="00AF20BD" w:rsidRPr="0078463C">
        <w:rPr>
          <w:rFonts w:asciiTheme="majorHAnsi" w:hAnsiTheme="majorHAnsi" w:cstheme="majorHAnsi"/>
        </w:rPr>
        <w:t xml:space="preserve"> el</w:t>
      </w:r>
      <w:r w:rsidR="00241F04" w:rsidRPr="0078463C">
        <w:rPr>
          <w:rFonts w:asciiTheme="majorHAnsi" w:hAnsiTheme="majorHAnsi" w:cstheme="majorHAnsi"/>
        </w:rPr>
        <w:t xml:space="preserve"> informe/memoria justificativa </w:t>
      </w:r>
      <w:r w:rsidR="00553510" w:rsidRPr="0078463C">
        <w:rPr>
          <w:rFonts w:asciiTheme="majorHAnsi" w:hAnsiTheme="majorHAnsi" w:cstheme="majorHAnsi"/>
        </w:rPr>
        <w:t>elaborado</w:t>
      </w:r>
      <w:r w:rsidR="00241F04" w:rsidRPr="0078463C">
        <w:rPr>
          <w:rFonts w:asciiTheme="majorHAnsi" w:hAnsiTheme="majorHAnsi" w:cstheme="majorHAnsi"/>
        </w:rPr>
        <w:t xml:space="preserve"> por (</w:t>
      </w:r>
      <w:r w:rsidR="00241F04" w:rsidRPr="0008121B">
        <w:rPr>
          <w:rFonts w:asciiTheme="majorHAnsi" w:hAnsiTheme="majorHAnsi" w:cstheme="majorHAnsi"/>
          <w:i/>
          <w:highlight w:val="lightGray"/>
        </w:rPr>
        <w:t>especificar instructor/departamento/área</w:t>
      </w:r>
      <w:r w:rsidR="00241F04" w:rsidRPr="0078463C">
        <w:rPr>
          <w:rFonts w:asciiTheme="majorHAnsi" w:hAnsiTheme="majorHAnsi" w:cstheme="majorHAnsi"/>
        </w:rPr>
        <w:t xml:space="preserve">) y adjunto como Anexo 1, se hace evidente la necesidad de contar con un </w:t>
      </w:r>
      <w:r w:rsidR="00E059AD" w:rsidRPr="00E059AD">
        <w:rPr>
          <w:rFonts w:asciiTheme="majorHAnsi" w:hAnsiTheme="majorHAnsi" w:cstheme="majorHAnsi"/>
        </w:rPr>
        <w:t>servicio técnico de colaboración y asistencia en los procedimientos de inspección tributaria y que incluya también la asistencia en el correspondiente procedimiento de sancionador derivado de infracciones tributarias</w:t>
      </w:r>
      <w:r w:rsidR="00157921">
        <w:rPr>
          <w:rFonts w:asciiTheme="majorHAnsi" w:hAnsiTheme="majorHAnsi" w:cstheme="majorHAnsi"/>
        </w:rPr>
        <w:t>.</w:t>
      </w:r>
    </w:p>
    <w:p w14:paraId="4BDDFC43" w14:textId="77777777" w:rsidR="00570C89" w:rsidRPr="0078463C" w:rsidRDefault="00570C89" w:rsidP="00E059AD">
      <w:pPr>
        <w:spacing w:after="0" w:line="320" w:lineRule="atLeast"/>
        <w:contextualSpacing/>
        <w:jc w:val="both"/>
        <w:rPr>
          <w:rFonts w:asciiTheme="majorHAnsi" w:hAnsiTheme="majorHAnsi" w:cstheme="majorHAnsi"/>
        </w:rPr>
      </w:pPr>
    </w:p>
    <w:p w14:paraId="73D658AF" w14:textId="1A085B37" w:rsidR="00421CA9" w:rsidRPr="0078463C" w:rsidRDefault="00421CA9" w:rsidP="00D43A69">
      <w:pPr>
        <w:numPr>
          <w:ilvl w:val="0"/>
          <w:numId w:val="9"/>
        </w:numPr>
        <w:spacing w:after="0" w:line="320" w:lineRule="atLeast"/>
        <w:contextualSpacing/>
        <w:jc w:val="both"/>
        <w:rPr>
          <w:rFonts w:asciiTheme="majorHAnsi" w:hAnsiTheme="majorHAnsi" w:cstheme="majorHAnsi"/>
          <w:color w:val="FF0000"/>
        </w:rPr>
      </w:pPr>
      <w:r w:rsidRPr="0078463C">
        <w:rPr>
          <w:rFonts w:asciiTheme="majorHAnsi" w:hAnsiTheme="majorHAnsi" w:cstheme="majorHAnsi"/>
        </w:rPr>
        <w:t xml:space="preserve">La FEMP, </w:t>
      </w:r>
      <w:r w:rsidRPr="00090666">
        <w:rPr>
          <w:rFonts w:asciiTheme="majorHAnsi" w:hAnsiTheme="majorHAnsi" w:cstheme="majorHAnsi"/>
        </w:rPr>
        <w:t>a través de su Central de Contratación</w:t>
      </w:r>
      <w:r w:rsidR="00414FD6" w:rsidRPr="00090666">
        <w:rPr>
          <w:rFonts w:asciiTheme="majorHAnsi" w:hAnsiTheme="majorHAnsi" w:cstheme="majorHAnsi"/>
        </w:rPr>
        <w:t>,</w:t>
      </w:r>
      <w:r w:rsidRPr="00090666">
        <w:rPr>
          <w:rFonts w:asciiTheme="majorHAnsi" w:hAnsiTheme="majorHAnsi" w:cstheme="majorHAnsi"/>
        </w:rPr>
        <w:t xml:space="preserve"> ha licitado en beneficio de sus asociados el </w:t>
      </w:r>
      <w:r w:rsidR="00523F47" w:rsidRPr="00090666">
        <w:rPr>
          <w:rFonts w:asciiTheme="majorHAnsi" w:hAnsiTheme="majorHAnsi" w:cstheme="majorHAnsi"/>
        </w:rPr>
        <w:t xml:space="preserve">servicio de asistencia </w:t>
      </w:r>
      <w:r w:rsidR="00090666" w:rsidRPr="00090666">
        <w:rPr>
          <w:rFonts w:asciiTheme="majorHAnsi" w:hAnsiTheme="majorHAnsi" w:cstheme="majorHAnsi"/>
        </w:rPr>
        <w:t xml:space="preserve">técnica para la inspección </w:t>
      </w:r>
      <w:r w:rsidR="00090666" w:rsidRPr="00903AFE">
        <w:rPr>
          <w:rFonts w:asciiTheme="majorHAnsi" w:hAnsiTheme="majorHAnsi" w:cstheme="majorHAnsi"/>
        </w:rPr>
        <w:t>tributaria y procedimiento sancionador por infracciones tributarias a través de la Central de Contratación</w:t>
      </w:r>
      <w:r w:rsidRPr="00903AFE">
        <w:rPr>
          <w:rFonts w:asciiTheme="majorHAnsi" w:hAnsiTheme="majorHAnsi" w:cstheme="majorHAnsi"/>
        </w:rPr>
        <w:t xml:space="preserve">, mediante un Acuerdo Marco </w:t>
      </w:r>
      <w:r w:rsidR="00414FD6" w:rsidRPr="00903AFE">
        <w:rPr>
          <w:rFonts w:asciiTheme="majorHAnsi" w:hAnsiTheme="majorHAnsi" w:cstheme="majorHAnsi"/>
        </w:rPr>
        <w:t xml:space="preserve">con </w:t>
      </w:r>
      <w:r w:rsidR="00903AFE" w:rsidRPr="00903AFE">
        <w:rPr>
          <w:rFonts w:asciiTheme="majorHAnsi" w:hAnsiTheme="majorHAnsi" w:cstheme="majorHAnsi"/>
        </w:rPr>
        <w:t>4</w:t>
      </w:r>
      <w:r w:rsidRPr="00903AFE">
        <w:rPr>
          <w:rFonts w:asciiTheme="majorHAnsi" w:hAnsiTheme="majorHAnsi" w:cstheme="majorHAnsi"/>
        </w:rPr>
        <w:t xml:space="preserve"> lotes geográficos</w:t>
      </w:r>
      <w:r w:rsidR="00414FD6" w:rsidRPr="00903AFE">
        <w:rPr>
          <w:rFonts w:asciiTheme="majorHAnsi" w:hAnsiTheme="majorHAnsi" w:cstheme="majorHAnsi"/>
        </w:rPr>
        <w:t xml:space="preserve"> y un único adjudicatario por lote, con base en unos </w:t>
      </w:r>
      <w:r w:rsidRPr="00903AFE">
        <w:rPr>
          <w:rFonts w:asciiTheme="majorHAnsi" w:hAnsiTheme="majorHAnsi" w:cstheme="majorHAnsi"/>
        </w:rPr>
        <w:t xml:space="preserve">Pliegos de Cláusulas </w:t>
      </w:r>
      <w:r w:rsidRPr="005E7BCB">
        <w:rPr>
          <w:rFonts w:asciiTheme="majorHAnsi" w:hAnsiTheme="majorHAnsi" w:cstheme="majorHAnsi"/>
        </w:rPr>
        <w:t xml:space="preserve">Administrativas </w:t>
      </w:r>
      <w:r w:rsidRPr="00B65A76">
        <w:rPr>
          <w:rFonts w:asciiTheme="majorHAnsi" w:hAnsiTheme="majorHAnsi" w:cstheme="majorHAnsi"/>
        </w:rPr>
        <w:t xml:space="preserve">Particulares (PCA) y unos Pliegos de Prescripciones Técnicas (PPT), cuya publicación se produjo el </w:t>
      </w:r>
      <w:r w:rsidR="001E2BE5" w:rsidRPr="00B65A76">
        <w:rPr>
          <w:rFonts w:asciiTheme="majorHAnsi" w:hAnsiTheme="majorHAnsi" w:cstheme="majorHAnsi"/>
        </w:rPr>
        <w:t>1</w:t>
      </w:r>
      <w:r w:rsidR="005E7BCB" w:rsidRPr="00B65A76">
        <w:rPr>
          <w:rFonts w:asciiTheme="majorHAnsi" w:hAnsiTheme="majorHAnsi" w:cstheme="majorHAnsi"/>
        </w:rPr>
        <w:t>5 de febrero de 2024.</w:t>
      </w:r>
      <w:r w:rsidRPr="00B65A76">
        <w:rPr>
          <w:rFonts w:asciiTheme="majorHAnsi" w:hAnsiTheme="majorHAnsi" w:cstheme="majorHAnsi"/>
        </w:rPr>
        <w:t xml:space="preserve"> Dicho</w:t>
      </w:r>
      <w:r w:rsidRPr="00196650">
        <w:rPr>
          <w:rFonts w:asciiTheme="majorHAnsi" w:hAnsiTheme="majorHAnsi" w:cstheme="majorHAnsi"/>
        </w:rPr>
        <w:t xml:space="preserve"> Acuerdo </w:t>
      </w:r>
      <w:r w:rsidR="001A1E2F" w:rsidRPr="00196650">
        <w:rPr>
          <w:rFonts w:asciiTheme="majorHAnsi" w:hAnsiTheme="majorHAnsi" w:cstheme="majorHAnsi"/>
        </w:rPr>
        <w:t>M</w:t>
      </w:r>
      <w:r w:rsidRPr="00196650">
        <w:rPr>
          <w:rFonts w:asciiTheme="majorHAnsi" w:hAnsiTheme="majorHAnsi" w:cstheme="majorHAnsi"/>
        </w:rPr>
        <w:t xml:space="preserve">arco se ha adjudicado </w:t>
      </w:r>
      <w:r w:rsidR="00662ED0" w:rsidRPr="00196650">
        <w:rPr>
          <w:rFonts w:asciiTheme="majorHAnsi" w:hAnsiTheme="majorHAnsi" w:cstheme="majorHAnsi"/>
        </w:rPr>
        <w:t>a Coordinadora Gestión Ingresos S.A.</w:t>
      </w:r>
      <w:r w:rsidR="00AF73CA" w:rsidRPr="00AF73CA">
        <w:rPr>
          <w:rFonts w:asciiTheme="majorHAnsi" w:hAnsiTheme="majorHAnsi" w:cstheme="majorHAnsi"/>
        </w:rPr>
        <w:t xml:space="preserve"> </w:t>
      </w:r>
      <w:r w:rsidR="00AF73CA" w:rsidRPr="00C800B0">
        <w:rPr>
          <w:rFonts w:asciiTheme="majorHAnsi" w:hAnsiTheme="majorHAnsi" w:cstheme="majorHAnsi"/>
        </w:rPr>
        <w:t>con CIF A81982225</w:t>
      </w:r>
      <w:r w:rsidR="00662ED0" w:rsidRPr="00C800B0">
        <w:rPr>
          <w:rFonts w:asciiTheme="majorHAnsi" w:hAnsiTheme="majorHAnsi" w:cstheme="majorHAnsi"/>
        </w:rPr>
        <w:t xml:space="preserve"> (CGI – Lotes Nº </w:t>
      </w:r>
      <w:r w:rsidR="00A66B73" w:rsidRPr="00C800B0">
        <w:rPr>
          <w:rFonts w:asciiTheme="majorHAnsi" w:hAnsiTheme="majorHAnsi" w:cstheme="majorHAnsi"/>
        </w:rPr>
        <w:t>1, 2, 3 y 4</w:t>
      </w:r>
      <w:r w:rsidR="00AF43D3" w:rsidRPr="00C800B0">
        <w:rPr>
          <w:rFonts w:asciiTheme="majorHAnsi" w:hAnsiTheme="majorHAnsi" w:cstheme="majorHAnsi"/>
        </w:rPr>
        <w:t xml:space="preserve"> con</w:t>
      </w:r>
      <w:r w:rsidR="00662ED0" w:rsidRPr="00C800B0">
        <w:rPr>
          <w:rFonts w:asciiTheme="majorHAnsi" w:hAnsiTheme="majorHAnsi" w:cstheme="majorHAnsi"/>
        </w:rPr>
        <w:t xml:space="preserve">) en fecha </w:t>
      </w:r>
      <w:r w:rsidR="00823127" w:rsidRPr="00C800B0">
        <w:rPr>
          <w:rFonts w:asciiTheme="majorHAnsi" w:hAnsiTheme="majorHAnsi" w:cstheme="majorHAnsi"/>
        </w:rPr>
        <w:t>7</w:t>
      </w:r>
      <w:r w:rsidR="00414FD6" w:rsidRPr="00C800B0">
        <w:rPr>
          <w:rFonts w:asciiTheme="majorHAnsi" w:hAnsiTheme="majorHAnsi" w:cstheme="majorHAnsi"/>
        </w:rPr>
        <w:t xml:space="preserve"> de </w:t>
      </w:r>
      <w:r w:rsidR="00823127" w:rsidRPr="00C800B0">
        <w:rPr>
          <w:rFonts w:asciiTheme="majorHAnsi" w:hAnsiTheme="majorHAnsi" w:cstheme="majorHAnsi"/>
        </w:rPr>
        <w:t>mayo</w:t>
      </w:r>
      <w:r w:rsidR="0093367B" w:rsidRPr="00C800B0">
        <w:rPr>
          <w:rFonts w:asciiTheme="majorHAnsi" w:hAnsiTheme="majorHAnsi" w:cstheme="majorHAnsi"/>
        </w:rPr>
        <w:t xml:space="preserve"> de 20</w:t>
      </w:r>
      <w:r w:rsidR="00FE080C" w:rsidRPr="00C800B0">
        <w:rPr>
          <w:rFonts w:asciiTheme="majorHAnsi" w:hAnsiTheme="majorHAnsi" w:cstheme="majorHAnsi"/>
        </w:rPr>
        <w:t>2</w:t>
      </w:r>
      <w:r w:rsidR="00196650" w:rsidRPr="00C800B0">
        <w:rPr>
          <w:rFonts w:asciiTheme="majorHAnsi" w:hAnsiTheme="majorHAnsi" w:cstheme="majorHAnsi"/>
        </w:rPr>
        <w:t>4</w:t>
      </w:r>
      <w:r w:rsidRPr="00C800B0">
        <w:rPr>
          <w:rFonts w:asciiTheme="majorHAnsi" w:hAnsiTheme="majorHAnsi" w:cstheme="majorHAnsi"/>
        </w:rPr>
        <w:t xml:space="preserve">, habiéndose formalizado el Acuerdo </w:t>
      </w:r>
      <w:r w:rsidRPr="00196650">
        <w:rPr>
          <w:rFonts w:asciiTheme="majorHAnsi" w:hAnsiTheme="majorHAnsi" w:cstheme="majorHAnsi"/>
        </w:rPr>
        <w:t xml:space="preserve">Marco </w:t>
      </w:r>
      <w:r w:rsidRPr="00B65A76">
        <w:rPr>
          <w:rFonts w:asciiTheme="majorHAnsi" w:hAnsiTheme="majorHAnsi" w:cstheme="majorHAnsi"/>
        </w:rPr>
        <w:t xml:space="preserve">el </w:t>
      </w:r>
      <w:r w:rsidR="00B65A76" w:rsidRPr="00B65A76">
        <w:rPr>
          <w:rFonts w:asciiTheme="majorHAnsi" w:hAnsiTheme="majorHAnsi" w:cstheme="majorHAnsi"/>
        </w:rPr>
        <w:t>5</w:t>
      </w:r>
      <w:r w:rsidR="00196650" w:rsidRPr="00B65A76">
        <w:rPr>
          <w:rFonts w:asciiTheme="majorHAnsi" w:hAnsiTheme="majorHAnsi" w:cstheme="majorHAnsi"/>
        </w:rPr>
        <w:t xml:space="preserve"> </w:t>
      </w:r>
      <w:r w:rsidR="00414FD6" w:rsidRPr="00B65A76">
        <w:rPr>
          <w:rFonts w:asciiTheme="majorHAnsi" w:hAnsiTheme="majorHAnsi" w:cstheme="majorHAnsi"/>
        </w:rPr>
        <w:t>de</w:t>
      </w:r>
      <w:r w:rsidR="00414FD6" w:rsidRPr="00196650">
        <w:rPr>
          <w:rFonts w:asciiTheme="majorHAnsi" w:hAnsiTheme="majorHAnsi" w:cstheme="majorHAnsi"/>
        </w:rPr>
        <w:t xml:space="preserve"> </w:t>
      </w:r>
      <w:r w:rsidR="00196650" w:rsidRPr="00196650">
        <w:rPr>
          <w:rFonts w:asciiTheme="majorHAnsi" w:hAnsiTheme="majorHAnsi" w:cstheme="majorHAnsi"/>
        </w:rPr>
        <w:t>junio</w:t>
      </w:r>
      <w:r w:rsidRPr="00196650">
        <w:rPr>
          <w:rFonts w:asciiTheme="majorHAnsi" w:hAnsiTheme="majorHAnsi" w:cstheme="majorHAnsi"/>
        </w:rPr>
        <w:t xml:space="preserve"> de 20</w:t>
      </w:r>
      <w:r w:rsidR="00FE080C" w:rsidRPr="00196650">
        <w:rPr>
          <w:rFonts w:asciiTheme="majorHAnsi" w:hAnsiTheme="majorHAnsi" w:cstheme="majorHAnsi"/>
        </w:rPr>
        <w:t>2</w:t>
      </w:r>
      <w:r w:rsidR="00196650" w:rsidRPr="00196650">
        <w:rPr>
          <w:rFonts w:asciiTheme="majorHAnsi" w:hAnsiTheme="majorHAnsi" w:cstheme="majorHAnsi"/>
        </w:rPr>
        <w:t>4</w:t>
      </w:r>
      <w:r w:rsidRPr="00196650">
        <w:rPr>
          <w:rFonts w:asciiTheme="majorHAnsi" w:hAnsiTheme="majorHAnsi" w:cstheme="majorHAnsi"/>
        </w:rPr>
        <w:t>.</w:t>
      </w:r>
    </w:p>
    <w:p w14:paraId="011526B1" w14:textId="77777777" w:rsidR="00C63F13" w:rsidRPr="0078463C" w:rsidRDefault="00C63F13" w:rsidP="00D43A69">
      <w:pPr>
        <w:pStyle w:val="Prrafodelista"/>
        <w:spacing w:after="0" w:line="320" w:lineRule="atLeast"/>
        <w:rPr>
          <w:rFonts w:asciiTheme="majorHAnsi" w:hAnsiTheme="majorHAnsi" w:cstheme="majorHAnsi"/>
        </w:rPr>
      </w:pPr>
    </w:p>
    <w:p w14:paraId="530A3C36" w14:textId="77777777" w:rsidR="00C800B0" w:rsidRDefault="00C800B0" w:rsidP="00D43A69">
      <w:pPr>
        <w:pStyle w:val="Prrafodelista"/>
        <w:spacing w:after="0" w:line="320" w:lineRule="atLeast"/>
        <w:ind w:left="360"/>
        <w:jc w:val="both"/>
        <w:rPr>
          <w:rFonts w:asciiTheme="majorHAnsi" w:hAnsiTheme="majorHAnsi" w:cstheme="majorHAnsi"/>
        </w:rPr>
      </w:pPr>
    </w:p>
    <w:p w14:paraId="237A042F" w14:textId="1CDFDC11" w:rsidR="00C63F13" w:rsidRPr="0078463C" w:rsidRDefault="00C63F13" w:rsidP="00D43A69">
      <w:pPr>
        <w:pStyle w:val="Prrafodelista"/>
        <w:spacing w:after="0" w:line="320" w:lineRule="atLeast"/>
        <w:ind w:left="360"/>
        <w:jc w:val="both"/>
        <w:rPr>
          <w:rFonts w:asciiTheme="majorHAnsi" w:hAnsiTheme="majorHAnsi" w:cstheme="majorHAnsi"/>
        </w:rPr>
      </w:pPr>
      <w:r w:rsidRPr="0078463C">
        <w:rPr>
          <w:rFonts w:asciiTheme="majorHAnsi" w:hAnsiTheme="majorHAnsi" w:cstheme="majorHAnsi"/>
        </w:rPr>
        <w:t>En dicha licitación, la FEMP ha observado todos los requisitos y procedimientos exigibles a la contratación de las Administraciones Públicas.</w:t>
      </w:r>
    </w:p>
    <w:p w14:paraId="1AFF352D" w14:textId="77777777" w:rsidR="004117BB" w:rsidRPr="0078463C" w:rsidRDefault="004117BB" w:rsidP="00D43A69">
      <w:pPr>
        <w:pStyle w:val="Prrafodelista"/>
        <w:spacing w:after="0" w:line="320" w:lineRule="atLeast"/>
        <w:rPr>
          <w:rFonts w:asciiTheme="majorHAnsi" w:hAnsiTheme="majorHAnsi" w:cstheme="majorHAnsi"/>
        </w:rPr>
      </w:pPr>
    </w:p>
    <w:p w14:paraId="4BA7C3DF" w14:textId="2FC962F8" w:rsidR="004117BB" w:rsidRPr="005F09CB" w:rsidRDefault="004117BB" w:rsidP="00D43A69">
      <w:pPr>
        <w:pStyle w:val="Prrafodelista"/>
        <w:numPr>
          <w:ilvl w:val="0"/>
          <w:numId w:val="9"/>
        </w:numPr>
        <w:spacing w:after="0" w:line="320" w:lineRule="atLeast"/>
        <w:jc w:val="both"/>
        <w:rPr>
          <w:rFonts w:asciiTheme="majorHAnsi" w:hAnsiTheme="majorHAnsi" w:cstheme="majorHAnsi"/>
        </w:rPr>
      </w:pPr>
      <w:r w:rsidRPr="005F09CB">
        <w:rPr>
          <w:rFonts w:asciiTheme="majorHAnsi" w:hAnsiTheme="majorHAnsi" w:cstheme="majorHAnsi"/>
        </w:rPr>
        <w:t xml:space="preserve">Que dicho Acuerdo Marco tiene una vigencia de </w:t>
      </w:r>
      <w:r w:rsidR="005F09CB" w:rsidRPr="005F09CB">
        <w:rPr>
          <w:rFonts w:asciiTheme="majorHAnsi" w:hAnsiTheme="majorHAnsi" w:cstheme="majorHAnsi"/>
        </w:rPr>
        <w:t>un (1) año desde la fecha que se establezca en el documento de formalización.</w:t>
      </w:r>
      <w:r w:rsidR="003C40EB" w:rsidRPr="005F09CB">
        <w:rPr>
          <w:rFonts w:asciiTheme="majorHAnsi" w:hAnsiTheme="majorHAnsi" w:cstheme="majorHAnsi"/>
        </w:rPr>
        <w:t xml:space="preserve"> Podrá ser objeto de </w:t>
      </w:r>
      <w:r w:rsidR="005F09CB" w:rsidRPr="005F09CB">
        <w:rPr>
          <w:rFonts w:asciiTheme="majorHAnsi" w:hAnsiTheme="majorHAnsi" w:cstheme="majorHAnsi"/>
        </w:rPr>
        <w:t>tres (3)</w:t>
      </w:r>
      <w:r w:rsidR="003C40EB" w:rsidRPr="005F09CB">
        <w:rPr>
          <w:rFonts w:asciiTheme="majorHAnsi" w:hAnsiTheme="majorHAnsi" w:cstheme="majorHAnsi"/>
        </w:rPr>
        <w:t xml:space="preserve"> prórrogas anuales (12 meses cada una)</w:t>
      </w:r>
      <w:r w:rsidR="0072681F" w:rsidRPr="005F09CB">
        <w:rPr>
          <w:rFonts w:asciiTheme="majorHAnsi" w:hAnsiTheme="majorHAnsi" w:cstheme="majorHAnsi"/>
        </w:rPr>
        <w:t>,</w:t>
      </w:r>
      <w:r w:rsidRPr="005F09CB">
        <w:rPr>
          <w:rFonts w:asciiTheme="majorHAnsi" w:hAnsiTheme="majorHAnsi" w:cstheme="majorHAnsi"/>
        </w:rPr>
        <w:t xml:space="preserve"> por lo que actualmente se encuentra en vigor pudiendo adjudicarse Contratos basados en dicho Acuerdo Marco durante la vigencia del mismo, incluidas sus prórrogas.</w:t>
      </w:r>
    </w:p>
    <w:p w14:paraId="7E120CE6" w14:textId="643529D9" w:rsidR="004117BB" w:rsidRPr="0078463C" w:rsidRDefault="004117BB" w:rsidP="00BB3909">
      <w:pPr>
        <w:pStyle w:val="Prrafodelista"/>
        <w:spacing w:after="0" w:line="320" w:lineRule="atLeast"/>
        <w:ind w:left="360"/>
        <w:rPr>
          <w:rFonts w:asciiTheme="majorHAnsi" w:hAnsiTheme="majorHAnsi" w:cstheme="majorHAnsi"/>
        </w:rPr>
      </w:pPr>
    </w:p>
    <w:p w14:paraId="7D4669EB" w14:textId="77777777" w:rsidR="00A162E3" w:rsidRPr="005F09CB" w:rsidRDefault="00A162E3" w:rsidP="00A162E3">
      <w:pPr>
        <w:pStyle w:val="Prrafodelista"/>
        <w:ind w:left="360"/>
        <w:jc w:val="both"/>
        <w:rPr>
          <w:rFonts w:asciiTheme="majorHAnsi" w:hAnsiTheme="majorHAnsi" w:cstheme="majorHAnsi"/>
        </w:rPr>
      </w:pPr>
      <w:r w:rsidRPr="005F09CB">
        <w:rPr>
          <w:rFonts w:asciiTheme="majorHAnsi" w:hAnsiTheme="majorHAnsi" w:cstheme="majorHAnsi"/>
        </w:rPr>
        <w:t>Sólo podrán adjudicarse Contratos basados en un Acuerdo Marco durante la vigencia de este último. La fecha relevante para entender que se ha cumplido este requisito será la de la adjudicación del Contrato basado.</w:t>
      </w:r>
    </w:p>
    <w:p w14:paraId="115A64E5" w14:textId="77777777" w:rsidR="00A162E3" w:rsidRPr="005F09CB" w:rsidRDefault="00A162E3" w:rsidP="00A162E3">
      <w:pPr>
        <w:pStyle w:val="Prrafodelista"/>
        <w:ind w:left="360"/>
        <w:jc w:val="both"/>
        <w:rPr>
          <w:rFonts w:asciiTheme="majorHAnsi" w:hAnsiTheme="majorHAnsi" w:cstheme="majorHAnsi"/>
        </w:rPr>
      </w:pPr>
    </w:p>
    <w:p w14:paraId="53DD56DE" w14:textId="30445FD5" w:rsidR="00A162E3" w:rsidRPr="005F09CB" w:rsidRDefault="00A162E3" w:rsidP="00A162E3">
      <w:pPr>
        <w:pStyle w:val="Prrafodelista"/>
        <w:ind w:left="360"/>
        <w:jc w:val="both"/>
        <w:rPr>
          <w:rFonts w:asciiTheme="majorHAnsi" w:hAnsiTheme="majorHAnsi" w:cstheme="majorHAnsi"/>
        </w:rPr>
      </w:pPr>
      <w:r w:rsidRPr="005F09CB">
        <w:rPr>
          <w:rFonts w:asciiTheme="majorHAnsi" w:hAnsiTheme="majorHAnsi" w:cstheme="majorHAnsi"/>
        </w:rPr>
        <w:t xml:space="preserve">En el supuesto de que la Entidad Local requiera al adjudicatario para que complete su oferta en los términos previstos en el artículo 221.3 </w:t>
      </w:r>
      <w:r w:rsidR="00075DBB" w:rsidRPr="005F09CB">
        <w:rPr>
          <w:rFonts w:asciiTheme="majorHAnsi" w:hAnsiTheme="majorHAnsi" w:cstheme="majorHAnsi"/>
        </w:rPr>
        <w:t>de la Ley 9/2017, de 8 de noviembre, de Contratos del Sector Público (“LCSP”),</w:t>
      </w:r>
      <w:r w:rsidRPr="005F09CB">
        <w:rPr>
          <w:rFonts w:asciiTheme="majorHAnsi" w:hAnsiTheme="majorHAnsi" w:cstheme="majorHAnsi"/>
        </w:rPr>
        <w:t xml:space="preserve"> la fecha relevante será la del envío de dicho requerimiento.</w:t>
      </w:r>
    </w:p>
    <w:p w14:paraId="6D5A6CE5" w14:textId="77777777" w:rsidR="00A162E3" w:rsidRPr="005F09CB" w:rsidRDefault="00A162E3" w:rsidP="00A162E3">
      <w:pPr>
        <w:pStyle w:val="Prrafodelista"/>
        <w:ind w:left="360"/>
        <w:jc w:val="both"/>
        <w:rPr>
          <w:rFonts w:asciiTheme="majorHAnsi" w:hAnsiTheme="majorHAnsi" w:cstheme="majorHAnsi"/>
        </w:rPr>
      </w:pPr>
    </w:p>
    <w:p w14:paraId="5BF91278" w14:textId="12D95B8E" w:rsidR="00A162E3" w:rsidRPr="005F09CB" w:rsidRDefault="00A162E3" w:rsidP="003C40EB">
      <w:pPr>
        <w:pStyle w:val="Prrafodelista"/>
        <w:ind w:left="360"/>
        <w:jc w:val="both"/>
        <w:rPr>
          <w:rFonts w:asciiTheme="majorHAnsi" w:hAnsiTheme="majorHAnsi" w:cstheme="majorHAnsi"/>
        </w:rPr>
      </w:pPr>
      <w:r w:rsidRPr="005F09CB">
        <w:rPr>
          <w:rFonts w:asciiTheme="majorHAnsi" w:hAnsiTheme="majorHAnsi" w:cstheme="majorHAnsi"/>
        </w:rPr>
        <w:t xml:space="preserve">Durante este periodo, las Entidades Locales deberán contratar los </w:t>
      </w:r>
      <w:r w:rsidR="003C40EB" w:rsidRPr="005F09CB">
        <w:rPr>
          <w:rFonts w:asciiTheme="majorHAnsi" w:hAnsiTheme="majorHAnsi" w:cstheme="majorHAnsi"/>
        </w:rPr>
        <w:t>servicio</w:t>
      </w:r>
      <w:r w:rsidRPr="005F09CB">
        <w:rPr>
          <w:rFonts w:asciiTheme="majorHAnsi" w:hAnsiTheme="majorHAnsi" w:cstheme="majorHAnsi"/>
        </w:rPr>
        <w:t>s con la empresa adjudicataria</w:t>
      </w:r>
      <w:r w:rsidR="00A028B5" w:rsidRPr="005F09CB">
        <w:rPr>
          <w:rFonts w:asciiTheme="majorHAnsi" w:hAnsiTheme="majorHAnsi" w:cstheme="majorHAnsi"/>
        </w:rPr>
        <w:t xml:space="preserve"> del lote correspondiente del </w:t>
      </w:r>
      <w:r w:rsidRPr="005F09CB">
        <w:rPr>
          <w:rFonts w:asciiTheme="majorHAnsi" w:hAnsiTheme="majorHAnsi" w:cstheme="majorHAnsi"/>
        </w:rPr>
        <w:t>Acuerdo Marco y en las condiciones que se fijan en el PCA y en el PPT.</w:t>
      </w:r>
    </w:p>
    <w:p w14:paraId="41BA0217" w14:textId="77777777" w:rsidR="003C40EB" w:rsidRPr="0078463C" w:rsidRDefault="003C40EB" w:rsidP="003C40EB">
      <w:pPr>
        <w:pStyle w:val="Prrafodelista"/>
        <w:ind w:left="360"/>
        <w:jc w:val="both"/>
        <w:rPr>
          <w:rFonts w:asciiTheme="majorHAnsi" w:hAnsiTheme="majorHAnsi" w:cstheme="majorHAnsi"/>
        </w:rPr>
      </w:pPr>
    </w:p>
    <w:p w14:paraId="1585D5A2" w14:textId="6DA6571F" w:rsidR="004117BB" w:rsidRPr="0078463C" w:rsidRDefault="00AB0333" w:rsidP="00D43A69">
      <w:pPr>
        <w:pStyle w:val="Prrafodelista"/>
        <w:numPr>
          <w:ilvl w:val="0"/>
          <w:numId w:val="9"/>
        </w:numPr>
        <w:spacing w:after="0" w:line="320" w:lineRule="atLeast"/>
        <w:jc w:val="both"/>
        <w:rPr>
          <w:rFonts w:asciiTheme="majorHAnsi" w:hAnsiTheme="majorHAnsi" w:cstheme="majorHAnsi"/>
        </w:rPr>
      </w:pPr>
      <w:r w:rsidRPr="0078463C">
        <w:rPr>
          <w:rFonts w:asciiTheme="majorHAnsi" w:hAnsiTheme="majorHAnsi" w:cstheme="majorHAnsi"/>
        </w:rPr>
        <w:t>Que,</w:t>
      </w:r>
      <w:r w:rsidR="004117BB" w:rsidRPr="0078463C">
        <w:rPr>
          <w:rFonts w:asciiTheme="majorHAnsi" w:hAnsiTheme="majorHAnsi" w:cstheme="majorHAnsi"/>
        </w:rPr>
        <w:t xml:space="preserve"> en base al citado Acuerdo Marco, esta Entidad puede suscribir el correspondiente </w:t>
      </w:r>
      <w:r w:rsidR="00F9683B" w:rsidRPr="0078463C">
        <w:rPr>
          <w:rFonts w:asciiTheme="majorHAnsi" w:hAnsiTheme="majorHAnsi" w:cstheme="majorHAnsi"/>
        </w:rPr>
        <w:t xml:space="preserve">Contrato </w:t>
      </w:r>
      <w:r w:rsidR="004117BB" w:rsidRPr="0078463C">
        <w:rPr>
          <w:rFonts w:asciiTheme="majorHAnsi" w:hAnsiTheme="majorHAnsi" w:cstheme="majorHAnsi"/>
        </w:rPr>
        <w:t>basado con la empresa adjudicataria</w:t>
      </w:r>
      <w:r w:rsidR="006C434E" w:rsidRPr="0078463C">
        <w:rPr>
          <w:rFonts w:asciiTheme="majorHAnsi" w:hAnsiTheme="majorHAnsi" w:cstheme="majorHAnsi"/>
        </w:rPr>
        <w:t>,</w:t>
      </w:r>
      <w:r w:rsidR="004117BB" w:rsidRPr="0078463C">
        <w:rPr>
          <w:rFonts w:asciiTheme="majorHAnsi" w:hAnsiTheme="majorHAnsi" w:cstheme="majorHAnsi"/>
        </w:rPr>
        <w:t xml:space="preserve"> que comprenderá todos los servicios referidos en el Acuerdo Marco en las condiciones que se fijan en el PCA y PPT.</w:t>
      </w:r>
    </w:p>
    <w:p w14:paraId="31CB4D66" w14:textId="77777777" w:rsidR="00D43A69" w:rsidRPr="00D02329" w:rsidRDefault="00D43A69" w:rsidP="00D02329">
      <w:pPr>
        <w:spacing w:after="0" w:line="320" w:lineRule="atLeast"/>
        <w:jc w:val="both"/>
        <w:rPr>
          <w:rFonts w:asciiTheme="majorHAnsi" w:hAnsiTheme="majorHAnsi" w:cstheme="majorHAnsi"/>
        </w:rPr>
      </w:pPr>
    </w:p>
    <w:p w14:paraId="5F651260" w14:textId="77777777" w:rsidR="0072681F" w:rsidRPr="00C92EB8" w:rsidRDefault="0072681F" w:rsidP="00D43A69">
      <w:pPr>
        <w:pStyle w:val="Prrafodelista"/>
        <w:numPr>
          <w:ilvl w:val="0"/>
          <w:numId w:val="9"/>
        </w:numPr>
        <w:spacing w:after="0" w:line="320" w:lineRule="atLeast"/>
        <w:jc w:val="both"/>
        <w:rPr>
          <w:rFonts w:asciiTheme="majorHAnsi" w:hAnsiTheme="majorHAnsi" w:cstheme="majorHAnsi"/>
        </w:rPr>
      </w:pPr>
      <w:r w:rsidRPr="0078463C">
        <w:rPr>
          <w:rFonts w:asciiTheme="majorHAnsi" w:hAnsiTheme="majorHAnsi" w:cstheme="majorHAnsi"/>
        </w:rPr>
        <w:t xml:space="preserve">Que </w:t>
      </w:r>
      <w:r w:rsidRPr="00C92EB8">
        <w:rPr>
          <w:rFonts w:asciiTheme="majorHAnsi" w:hAnsiTheme="majorHAnsi" w:cstheme="majorHAnsi"/>
        </w:rPr>
        <w:t xml:space="preserve">el </w:t>
      </w:r>
      <w:r w:rsidR="00F9683B" w:rsidRPr="00C92EB8">
        <w:rPr>
          <w:rFonts w:asciiTheme="majorHAnsi" w:hAnsiTheme="majorHAnsi" w:cstheme="majorHAnsi"/>
        </w:rPr>
        <w:t xml:space="preserve">Contrato </w:t>
      </w:r>
      <w:r w:rsidRPr="00C92EB8">
        <w:rPr>
          <w:rFonts w:asciiTheme="majorHAnsi" w:hAnsiTheme="majorHAnsi" w:cstheme="majorHAnsi"/>
        </w:rPr>
        <w:t>basado que en este trámite se adjudica</w:t>
      </w:r>
      <w:r w:rsidR="00C63F13" w:rsidRPr="00C92EB8">
        <w:rPr>
          <w:rFonts w:asciiTheme="majorHAnsi" w:hAnsiTheme="majorHAnsi" w:cstheme="majorHAnsi"/>
        </w:rPr>
        <w:t>,</w:t>
      </w:r>
      <w:r w:rsidRPr="00C92EB8">
        <w:rPr>
          <w:rFonts w:asciiTheme="majorHAnsi" w:hAnsiTheme="majorHAnsi" w:cstheme="majorHAnsi"/>
        </w:rPr>
        <w:t xml:space="preserve"> </w:t>
      </w:r>
      <w:r w:rsidR="00324238" w:rsidRPr="00C92EB8">
        <w:rPr>
          <w:rFonts w:asciiTheme="majorHAnsi" w:hAnsiTheme="majorHAnsi" w:cstheme="majorHAnsi"/>
        </w:rPr>
        <w:t>se ajustará a las siguientes</w:t>
      </w:r>
      <w:r w:rsidRPr="00C92EB8">
        <w:rPr>
          <w:rFonts w:asciiTheme="majorHAnsi" w:hAnsiTheme="majorHAnsi" w:cstheme="majorHAnsi"/>
        </w:rPr>
        <w:t xml:space="preserve"> condiciones:</w:t>
      </w:r>
    </w:p>
    <w:p w14:paraId="437EE24A" w14:textId="77777777" w:rsidR="0072681F" w:rsidRPr="004354A2" w:rsidRDefault="0072681F" w:rsidP="00D43A69">
      <w:pPr>
        <w:pStyle w:val="Prrafodelista"/>
        <w:spacing w:after="0" w:line="320" w:lineRule="atLeast"/>
        <w:rPr>
          <w:rFonts w:asciiTheme="majorHAnsi" w:hAnsiTheme="majorHAnsi" w:cstheme="majorHAnsi"/>
        </w:rPr>
      </w:pPr>
    </w:p>
    <w:p w14:paraId="3904E1B2" w14:textId="1294ADC3" w:rsidR="00D02329" w:rsidRPr="004354A2" w:rsidRDefault="00D02329" w:rsidP="00D43A69">
      <w:pPr>
        <w:pStyle w:val="Prrafodelista"/>
        <w:numPr>
          <w:ilvl w:val="0"/>
          <w:numId w:val="12"/>
        </w:numPr>
        <w:spacing w:after="0" w:line="320" w:lineRule="atLeast"/>
        <w:rPr>
          <w:rFonts w:asciiTheme="majorHAnsi" w:hAnsiTheme="majorHAnsi" w:cstheme="majorHAnsi"/>
          <w:b/>
          <w:bCs/>
        </w:rPr>
      </w:pPr>
      <w:r w:rsidRPr="004354A2">
        <w:rPr>
          <w:rFonts w:asciiTheme="majorHAnsi" w:hAnsiTheme="majorHAnsi" w:cstheme="majorHAnsi"/>
          <w:b/>
          <w:bCs/>
        </w:rPr>
        <w:t>Objeto del contrato basado:</w:t>
      </w:r>
    </w:p>
    <w:p w14:paraId="159EEE89" w14:textId="77777777" w:rsidR="00D02329" w:rsidRPr="004354A2" w:rsidRDefault="00D02329" w:rsidP="00D02329">
      <w:pPr>
        <w:spacing w:after="0" w:line="320" w:lineRule="atLeast"/>
        <w:rPr>
          <w:rFonts w:asciiTheme="majorHAnsi" w:hAnsiTheme="majorHAnsi" w:cstheme="majorHAnsi"/>
        </w:rPr>
      </w:pPr>
    </w:p>
    <w:p w14:paraId="1F2ABDB6" w14:textId="1A1A14FA" w:rsidR="002234D4" w:rsidRPr="004354A2" w:rsidRDefault="002234D4" w:rsidP="002234D4">
      <w:pPr>
        <w:pStyle w:val="Prrafodelista"/>
        <w:numPr>
          <w:ilvl w:val="0"/>
          <w:numId w:val="18"/>
        </w:numPr>
        <w:spacing w:after="0" w:line="320" w:lineRule="atLeast"/>
        <w:rPr>
          <w:rFonts w:asciiTheme="majorHAnsi" w:hAnsiTheme="majorHAnsi" w:cstheme="majorHAnsi"/>
        </w:rPr>
      </w:pPr>
      <w:r w:rsidRPr="004354A2">
        <w:rPr>
          <w:rFonts w:asciiTheme="majorHAnsi" w:hAnsiTheme="majorHAnsi" w:cstheme="majorHAnsi"/>
          <w:u w:val="single"/>
        </w:rPr>
        <w:t>Delimitación del ámbito procedimental:</w:t>
      </w:r>
      <w:r w:rsidR="00C92EB8" w:rsidRPr="004354A2">
        <w:rPr>
          <w:rFonts w:asciiTheme="majorHAnsi" w:hAnsiTheme="majorHAnsi" w:cstheme="majorHAnsi"/>
        </w:rPr>
        <w:t xml:space="preserve"> (Marque con X el objeto deseado)</w:t>
      </w:r>
    </w:p>
    <w:p w14:paraId="713EA849" w14:textId="77777777" w:rsidR="002234D4" w:rsidRPr="004354A2" w:rsidRDefault="002234D4" w:rsidP="002234D4">
      <w:pPr>
        <w:pStyle w:val="Prrafodelista"/>
        <w:spacing w:after="0" w:line="320" w:lineRule="atLeast"/>
        <w:rPr>
          <w:rFonts w:asciiTheme="majorHAnsi" w:hAnsiTheme="majorHAnsi" w:cstheme="majorHAnsi"/>
        </w:rPr>
      </w:pPr>
    </w:p>
    <w:p w14:paraId="656357F1" w14:textId="77777777" w:rsidR="0088601E" w:rsidRPr="004354A2" w:rsidRDefault="0088601E" w:rsidP="00EC1405">
      <w:pPr>
        <w:spacing w:after="0" w:line="240" w:lineRule="auto"/>
        <w:ind w:left="708" w:firstLine="12"/>
        <w:jc w:val="both"/>
        <w:rPr>
          <w:rFonts w:asciiTheme="majorHAnsi" w:hAnsiTheme="majorHAnsi" w:cstheme="majorHAnsi"/>
        </w:rPr>
      </w:pPr>
      <w:r w:rsidRPr="004354A2">
        <w:rPr>
          <w:rFonts w:asciiTheme="majorHAnsi" w:eastAsia="Times New Roman" w:hAnsiTheme="majorHAnsi" w:cstheme="majorHAnsi"/>
          <w:lang w:eastAsia="es-ES"/>
        </w:rPr>
        <w:t xml:space="preserve">La Entidad contratante podrá seleccionar si la asistencia se limita a las labores de inspección de los tributos, o si se extiende al procedimiento sancionador que derive de la inspección tributaria.  </w:t>
      </w:r>
    </w:p>
    <w:p w14:paraId="06EA4B9C" w14:textId="77777777" w:rsidR="0088601E" w:rsidRPr="004354A2" w:rsidRDefault="0088601E" w:rsidP="002234D4">
      <w:pPr>
        <w:pStyle w:val="Prrafodelista"/>
        <w:spacing w:after="0" w:line="320" w:lineRule="atLeast"/>
        <w:rPr>
          <w:rFonts w:asciiTheme="majorHAnsi" w:hAnsiTheme="majorHAnsi" w:cstheme="majorHAnsi"/>
        </w:rPr>
      </w:pPr>
    </w:p>
    <w:tbl>
      <w:tblPr>
        <w:tblStyle w:val="Tablaconcuadrcula"/>
        <w:tblW w:w="7796" w:type="dxa"/>
        <w:tblInd w:w="846" w:type="dxa"/>
        <w:tblLook w:val="04A0" w:firstRow="1" w:lastRow="0" w:firstColumn="1" w:lastColumn="0" w:noHBand="0" w:noVBand="1"/>
      </w:tblPr>
      <w:tblGrid>
        <w:gridCol w:w="7087"/>
        <w:gridCol w:w="709"/>
      </w:tblGrid>
      <w:tr w:rsidR="004354A2" w:rsidRPr="004354A2" w14:paraId="5AB8BA2B" w14:textId="77777777" w:rsidTr="00BD58FD">
        <w:trPr>
          <w:trHeight w:val="302"/>
        </w:trPr>
        <w:tc>
          <w:tcPr>
            <w:tcW w:w="7087" w:type="dxa"/>
          </w:tcPr>
          <w:p w14:paraId="189B3EEE" w14:textId="6D1B303E" w:rsidR="002234D4" w:rsidRPr="004354A2" w:rsidRDefault="002234D4" w:rsidP="002234D4">
            <w:pPr>
              <w:rPr>
                <w:rFonts w:asciiTheme="majorHAnsi" w:hAnsiTheme="majorHAnsi" w:cstheme="majorHAnsi"/>
              </w:rPr>
            </w:pPr>
            <w:r w:rsidRPr="004354A2">
              <w:rPr>
                <w:rFonts w:asciiTheme="majorHAnsi" w:hAnsiTheme="majorHAnsi" w:cstheme="majorHAnsi"/>
              </w:rPr>
              <w:t>Procedimiento de Inspección/Comprobación</w:t>
            </w:r>
          </w:p>
        </w:tc>
        <w:tc>
          <w:tcPr>
            <w:tcW w:w="709" w:type="dxa"/>
          </w:tcPr>
          <w:p w14:paraId="16C9E73D" w14:textId="77777777" w:rsidR="002234D4" w:rsidRPr="004354A2" w:rsidRDefault="002234D4" w:rsidP="00671E78">
            <w:pPr>
              <w:jc w:val="both"/>
              <w:rPr>
                <w:rFonts w:asciiTheme="majorHAnsi" w:hAnsiTheme="majorHAnsi" w:cstheme="majorHAnsi"/>
              </w:rPr>
            </w:pPr>
          </w:p>
        </w:tc>
      </w:tr>
      <w:tr w:rsidR="004354A2" w:rsidRPr="004354A2" w14:paraId="0F81F9E0" w14:textId="77777777" w:rsidTr="00BD58FD">
        <w:tc>
          <w:tcPr>
            <w:tcW w:w="7087" w:type="dxa"/>
          </w:tcPr>
          <w:p w14:paraId="7BCAE77F" w14:textId="0CE26BEE" w:rsidR="002234D4" w:rsidRPr="004354A2" w:rsidRDefault="002234D4" w:rsidP="002234D4">
            <w:pPr>
              <w:rPr>
                <w:rFonts w:asciiTheme="majorHAnsi" w:hAnsiTheme="majorHAnsi" w:cstheme="majorHAnsi"/>
              </w:rPr>
            </w:pPr>
            <w:r w:rsidRPr="004354A2">
              <w:rPr>
                <w:rFonts w:asciiTheme="majorHAnsi" w:hAnsiTheme="majorHAnsi" w:cstheme="majorHAnsi"/>
              </w:rPr>
              <w:t>Procedimiento de Inspección/Comprobación y Procedimiento Sancionador.</w:t>
            </w:r>
          </w:p>
        </w:tc>
        <w:tc>
          <w:tcPr>
            <w:tcW w:w="709" w:type="dxa"/>
          </w:tcPr>
          <w:p w14:paraId="321FF836" w14:textId="77777777" w:rsidR="002234D4" w:rsidRPr="004354A2" w:rsidRDefault="002234D4" w:rsidP="00671E78">
            <w:pPr>
              <w:jc w:val="both"/>
              <w:rPr>
                <w:rFonts w:asciiTheme="majorHAnsi" w:hAnsiTheme="majorHAnsi" w:cstheme="majorHAnsi"/>
              </w:rPr>
            </w:pPr>
          </w:p>
        </w:tc>
      </w:tr>
    </w:tbl>
    <w:p w14:paraId="3E1AE396" w14:textId="77777777" w:rsidR="00DC5BD0" w:rsidRPr="004354A2" w:rsidRDefault="00DC5BD0" w:rsidP="002234D4">
      <w:pPr>
        <w:spacing w:after="0" w:line="320" w:lineRule="atLeast"/>
        <w:rPr>
          <w:rFonts w:asciiTheme="majorHAnsi" w:hAnsiTheme="majorHAnsi" w:cstheme="majorHAnsi"/>
        </w:rPr>
      </w:pPr>
    </w:p>
    <w:p w14:paraId="62961654" w14:textId="1BD609F4" w:rsidR="00DC5BD0" w:rsidRPr="004354A2" w:rsidRDefault="002234D4" w:rsidP="00500BAE">
      <w:pPr>
        <w:pStyle w:val="Prrafodelista"/>
        <w:numPr>
          <w:ilvl w:val="0"/>
          <w:numId w:val="18"/>
        </w:numPr>
        <w:spacing w:after="0" w:line="320" w:lineRule="atLeast"/>
        <w:jc w:val="both"/>
        <w:rPr>
          <w:rFonts w:asciiTheme="majorHAnsi" w:hAnsiTheme="majorHAnsi" w:cstheme="majorHAnsi"/>
        </w:rPr>
      </w:pPr>
      <w:r w:rsidRPr="004354A2">
        <w:rPr>
          <w:rFonts w:asciiTheme="majorHAnsi" w:hAnsiTheme="majorHAnsi" w:cstheme="majorHAnsi"/>
          <w:u w:val="single"/>
        </w:rPr>
        <w:t>Delimitación del ámbito tributario</w:t>
      </w:r>
      <w:r w:rsidRPr="004354A2">
        <w:rPr>
          <w:rFonts w:asciiTheme="majorHAnsi" w:hAnsiTheme="majorHAnsi" w:cstheme="majorHAnsi"/>
        </w:rPr>
        <w:t>: (Determine los tributos que serán objeto de la asistencia):</w:t>
      </w:r>
    </w:p>
    <w:p w14:paraId="66086FCE" w14:textId="77777777" w:rsidR="00DC5BD0" w:rsidRPr="00DC5BD0" w:rsidRDefault="00DC5BD0" w:rsidP="00500BAE">
      <w:pPr>
        <w:pStyle w:val="Prrafodelista"/>
        <w:spacing w:after="0" w:line="320" w:lineRule="atLeast"/>
        <w:jc w:val="both"/>
        <w:rPr>
          <w:rFonts w:asciiTheme="majorHAnsi" w:hAnsiTheme="majorHAnsi" w:cstheme="majorHAnsi"/>
          <w:color w:val="FF0000"/>
        </w:rPr>
      </w:pPr>
    </w:p>
    <w:p w14:paraId="5405F76A" w14:textId="6CB623A6" w:rsidR="00DC5BD0" w:rsidRPr="00EC1405" w:rsidRDefault="00DC5BD0" w:rsidP="00500BAE">
      <w:pPr>
        <w:ind w:left="708" w:firstLine="12"/>
        <w:jc w:val="both"/>
        <w:rPr>
          <w:rFonts w:asciiTheme="majorHAnsi" w:eastAsia="Times New Roman" w:hAnsiTheme="majorHAnsi" w:cstheme="majorHAnsi"/>
          <w:lang w:eastAsia="es-ES"/>
        </w:rPr>
      </w:pPr>
      <w:r w:rsidRPr="00EC1405">
        <w:rPr>
          <w:rFonts w:asciiTheme="majorHAnsi" w:eastAsia="Times New Roman" w:hAnsiTheme="majorHAnsi" w:cstheme="majorHAnsi"/>
          <w:lang w:eastAsia="es-ES"/>
        </w:rPr>
        <w:t xml:space="preserve">La entidad contratante tendrá la potestad de seleccionar los tributos concretos sobre los que precisará servicios de asistencia técnica en la inspección tributaria, pudiendo marcar uno o varios de los tributos indicados u otros sobre los que tenga competencia, pero, en </w:t>
      </w:r>
      <w:r w:rsidRPr="00EC1405">
        <w:rPr>
          <w:rFonts w:asciiTheme="majorHAnsi" w:eastAsia="Times New Roman" w:hAnsiTheme="majorHAnsi" w:cstheme="majorHAnsi"/>
          <w:lang w:eastAsia="es-ES"/>
        </w:rPr>
        <w:lastRenderedPageBreak/>
        <w:t xml:space="preserve">todo caso, </w:t>
      </w:r>
      <w:r w:rsidRPr="00EC1405">
        <w:rPr>
          <w:rFonts w:asciiTheme="majorHAnsi" w:eastAsia="Times New Roman" w:hAnsiTheme="majorHAnsi" w:cstheme="majorHAnsi"/>
          <w:b/>
          <w:bCs/>
          <w:lang w:eastAsia="es-ES"/>
        </w:rPr>
        <w:t>deberá incluir al menos 1 de los tributos relacionadas entre el número 1 y 4</w:t>
      </w:r>
      <w:r w:rsidRPr="00EC1405">
        <w:rPr>
          <w:rFonts w:asciiTheme="majorHAnsi" w:eastAsia="Times New Roman" w:hAnsiTheme="majorHAnsi" w:cstheme="majorHAnsi"/>
          <w:lang w:eastAsia="es-ES"/>
        </w:rPr>
        <w:t xml:space="preserve"> del catálogo expuesto. </w:t>
      </w:r>
    </w:p>
    <w:p w14:paraId="4FC7124A" w14:textId="77777777" w:rsidR="002234D4" w:rsidRPr="00EC1405" w:rsidRDefault="002234D4" w:rsidP="00D02329">
      <w:pPr>
        <w:spacing w:after="0" w:line="320" w:lineRule="atLeast"/>
        <w:rPr>
          <w:rFonts w:asciiTheme="majorHAnsi" w:hAnsiTheme="majorHAnsi" w:cstheme="majorHAnsi"/>
        </w:rPr>
      </w:pPr>
    </w:p>
    <w:tbl>
      <w:tblPr>
        <w:tblStyle w:val="Tablaconcuadrcula"/>
        <w:tblW w:w="7796" w:type="dxa"/>
        <w:tblInd w:w="846" w:type="dxa"/>
        <w:tblLook w:val="04A0" w:firstRow="1" w:lastRow="0" w:firstColumn="1" w:lastColumn="0" w:noHBand="0" w:noVBand="1"/>
      </w:tblPr>
      <w:tblGrid>
        <w:gridCol w:w="6379"/>
        <w:gridCol w:w="1417"/>
      </w:tblGrid>
      <w:tr w:rsidR="00EC1405" w:rsidRPr="00EC1405" w14:paraId="77B483C0" w14:textId="77777777" w:rsidTr="00671E78">
        <w:trPr>
          <w:trHeight w:val="302"/>
        </w:trPr>
        <w:tc>
          <w:tcPr>
            <w:tcW w:w="6379" w:type="dxa"/>
          </w:tcPr>
          <w:p w14:paraId="19225897" w14:textId="0B87058E" w:rsidR="002234D4" w:rsidRPr="00EC1405" w:rsidRDefault="001B0D2D" w:rsidP="001B0D2D">
            <w:pPr>
              <w:pStyle w:val="Prrafodelista"/>
              <w:numPr>
                <w:ilvl w:val="0"/>
                <w:numId w:val="21"/>
              </w:numPr>
              <w:autoSpaceDE w:val="0"/>
              <w:autoSpaceDN w:val="0"/>
              <w:adjustRightInd w:val="0"/>
              <w:jc w:val="both"/>
              <w:rPr>
                <w:rFonts w:asciiTheme="majorHAnsi" w:hAnsiTheme="majorHAnsi" w:cstheme="majorHAnsi"/>
                <w:b/>
                <w:bCs/>
                <w:i/>
                <w:iCs/>
              </w:rPr>
            </w:pPr>
            <w:bookmarkStart w:id="0" w:name="_Hlk168567228"/>
            <w:r w:rsidRPr="00EC1405">
              <w:rPr>
                <w:rFonts w:asciiTheme="majorHAnsi" w:hAnsiTheme="majorHAnsi" w:cstheme="majorHAnsi"/>
                <w:b/>
                <w:bCs/>
                <w:i/>
                <w:iCs/>
              </w:rPr>
              <w:t>Impuesto sobre Actividades Económicas (“IAE”)</w:t>
            </w:r>
          </w:p>
        </w:tc>
        <w:tc>
          <w:tcPr>
            <w:tcW w:w="1417" w:type="dxa"/>
          </w:tcPr>
          <w:p w14:paraId="55AD62CF" w14:textId="77777777" w:rsidR="002234D4" w:rsidRPr="009B15FA" w:rsidRDefault="002234D4" w:rsidP="00671E78">
            <w:pPr>
              <w:jc w:val="both"/>
              <w:rPr>
                <w:rFonts w:asciiTheme="majorHAnsi" w:hAnsiTheme="majorHAnsi" w:cstheme="majorHAnsi"/>
              </w:rPr>
            </w:pPr>
          </w:p>
        </w:tc>
      </w:tr>
      <w:tr w:rsidR="00EC1405" w:rsidRPr="00EC1405" w14:paraId="3E2515AA" w14:textId="77777777" w:rsidTr="00671E78">
        <w:tc>
          <w:tcPr>
            <w:tcW w:w="6379" w:type="dxa"/>
          </w:tcPr>
          <w:p w14:paraId="632F53CF" w14:textId="16C17940" w:rsidR="002234D4" w:rsidRPr="00EC1405" w:rsidRDefault="001B0D2D" w:rsidP="00671E78">
            <w:pPr>
              <w:pStyle w:val="Prrafodelista"/>
              <w:numPr>
                <w:ilvl w:val="0"/>
                <w:numId w:val="21"/>
              </w:numPr>
              <w:autoSpaceDE w:val="0"/>
              <w:autoSpaceDN w:val="0"/>
              <w:adjustRightInd w:val="0"/>
              <w:jc w:val="both"/>
              <w:rPr>
                <w:rFonts w:asciiTheme="majorHAnsi" w:hAnsiTheme="majorHAnsi" w:cstheme="majorHAnsi"/>
                <w:b/>
                <w:bCs/>
                <w:i/>
                <w:iCs/>
              </w:rPr>
            </w:pPr>
            <w:r w:rsidRPr="00EC1405">
              <w:rPr>
                <w:rFonts w:asciiTheme="majorHAnsi" w:hAnsiTheme="majorHAnsi" w:cstheme="majorHAnsi"/>
                <w:b/>
                <w:bCs/>
                <w:i/>
                <w:iCs/>
              </w:rPr>
              <w:t>Impuesto sobre construcciones</w:t>
            </w:r>
            <w:r w:rsidRPr="00EC1405">
              <w:rPr>
                <w:rFonts w:asciiTheme="majorHAnsi" w:eastAsia="Times New Roman" w:hAnsiTheme="majorHAnsi" w:cstheme="majorHAnsi"/>
                <w:b/>
                <w:bCs/>
                <w:i/>
                <w:iCs/>
                <w:lang w:eastAsia="es-ES"/>
              </w:rPr>
              <w:t>, instalaciones y obras (“ICIO”)</w:t>
            </w:r>
          </w:p>
        </w:tc>
        <w:tc>
          <w:tcPr>
            <w:tcW w:w="1417" w:type="dxa"/>
          </w:tcPr>
          <w:p w14:paraId="29AF1E2B" w14:textId="77777777" w:rsidR="002234D4" w:rsidRPr="009B15FA" w:rsidRDefault="002234D4" w:rsidP="00671E78">
            <w:pPr>
              <w:jc w:val="both"/>
              <w:rPr>
                <w:rFonts w:asciiTheme="majorHAnsi" w:hAnsiTheme="majorHAnsi" w:cstheme="majorHAnsi"/>
              </w:rPr>
            </w:pPr>
          </w:p>
        </w:tc>
      </w:tr>
      <w:tr w:rsidR="00EC1405" w:rsidRPr="00EC1405" w14:paraId="592C2412" w14:textId="77777777" w:rsidTr="00671E78">
        <w:tc>
          <w:tcPr>
            <w:tcW w:w="6379" w:type="dxa"/>
          </w:tcPr>
          <w:p w14:paraId="585BACCE" w14:textId="72636ECB" w:rsidR="002234D4" w:rsidRPr="009B15FA" w:rsidRDefault="001B0D2D" w:rsidP="001B0D2D">
            <w:pPr>
              <w:pStyle w:val="Prrafodelista"/>
              <w:numPr>
                <w:ilvl w:val="0"/>
                <w:numId w:val="21"/>
              </w:numPr>
              <w:rPr>
                <w:rFonts w:asciiTheme="majorHAnsi" w:hAnsiTheme="majorHAnsi" w:cstheme="majorHAnsi"/>
                <w:b/>
                <w:bCs/>
                <w:i/>
                <w:iCs/>
              </w:rPr>
            </w:pPr>
            <w:r w:rsidRPr="00EC1405">
              <w:rPr>
                <w:rFonts w:asciiTheme="majorHAnsi" w:hAnsiTheme="majorHAnsi" w:cstheme="majorHAnsi"/>
                <w:b/>
                <w:bCs/>
                <w:i/>
                <w:iCs/>
              </w:rPr>
              <w:t>Tasa por aprovechamientos especiales a favor de empresas explotadoras de suministros que afecten a la generalidad o una parte del vecindario (“Tasa 1,5”)</w:t>
            </w:r>
          </w:p>
        </w:tc>
        <w:tc>
          <w:tcPr>
            <w:tcW w:w="1417" w:type="dxa"/>
          </w:tcPr>
          <w:p w14:paraId="500133C6" w14:textId="77777777" w:rsidR="002234D4" w:rsidRPr="009B15FA" w:rsidRDefault="002234D4" w:rsidP="00671E78">
            <w:pPr>
              <w:jc w:val="both"/>
              <w:rPr>
                <w:rFonts w:asciiTheme="majorHAnsi" w:hAnsiTheme="majorHAnsi" w:cstheme="majorHAnsi"/>
              </w:rPr>
            </w:pPr>
          </w:p>
        </w:tc>
      </w:tr>
      <w:tr w:rsidR="00EC1405" w:rsidRPr="00EC1405" w14:paraId="4217D282" w14:textId="77777777" w:rsidTr="00671E78">
        <w:tc>
          <w:tcPr>
            <w:tcW w:w="6379" w:type="dxa"/>
          </w:tcPr>
          <w:p w14:paraId="0D70AB05" w14:textId="3B7E9B88" w:rsidR="002234D4" w:rsidRPr="00EC1405" w:rsidRDefault="008820B6" w:rsidP="00520A26">
            <w:pPr>
              <w:pStyle w:val="Prrafodelista"/>
              <w:numPr>
                <w:ilvl w:val="0"/>
                <w:numId w:val="21"/>
              </w:numPr>
              <w:autoSpaceDE w:val="0"/>
              <w:autoSpaceDN w:val="0"/>
              <w:adjustRightInd w:val="0"/>
              <w:jc w:val="both"/>
              <w:rPr>
                <w:rFonts w:asciiTheme="majorHAnsi" w:eastAsia="Times New Roman" w:hAnsiTheme="majorHAnsi" w:cstheme="majorHAnsi"/>
                <w:b/>
                <w:bCs/>
                <w:i/>
                <w:iCs/>
                <w:lang w:eastAsia="es-ES"/>
              </w:rPr>
            </w:pPr>
            <w:r w:rsidRPr="00EC1405">
              <w:rPr>
                <w:rFonts w:asciiTheme="majorHAnsi" w:eastAsia="Times New Roman" w:hAnsiTheme="majorHAnsi" w:cstheme="majorHAnsi"/>
                <w:b/>
                <w:bCs/>
                <w:i/>
                <w:iCs/>
                <w:lang w:eastAsia="es-ES"/>
              </w:rPr>
              <w:t>Tasa por vados (“Vados”)</w:t>
            </w:r>
          </w:p>
        </w:tc>
        <w:tc>
          <w:tcPr>
            <w:tcW w:w="1417" w:type="dxa"/>
          </w:tcPr>
          <w:p w14:paraId="365DA88C" w14:textId="77777777" w:rsidR="002234D4" w:rsidRPr="009B15FA" w:rsidRDefault="002234D4" w:rsidP="00671E78">
            <w:pPr>
              <w:jc w:val="both"/>
              <w:rPr>
                <w:rFonts w:asciiTheme="majorHAnsi" w:hAnsiTheme="majorHAnsi" w:cstheme="majorHAnsi"/>
              </w:rPr>
            </w:pPr>
          </w:p>
        </w:tc>
      </w:tr>
      <w:tr w:rsidR="00EC1405" w:rsidRPr="00EC1405" w14:paraId="6664A188" w14:textId="77777777" w:rsidTr="00671E78">
        <w:tc>
          <w:tcPr>
            <w:tcW w:w="6379" w:type="dxa"/>
          </w:tcPr>
          <w:p w14:paraId="0008C03C" w14:textId="0B0373F9" w:rsidR="001B0D2D" w:rsidRPr="00EC1405" w:rsidRDefault="008820B6" w:rsidP="00671E78">
            <w:pPr>
              <w:pStyle w:val="Prrafodelista"/>
              <w:numPr>
                <w:ilvl w:val="0"/>
                <w:numId w:val="21"/>
              </w:numPr>
              <w:autoSpaceDE w:val="0"/>
              <w:autoSpaceDN w:val="0"/>
              <w:adjustRightInd w:val="0"/>
              <w:jc w:val="both"/>
              <w:rPr>
                <w:rFonts w:asciiTheme="majorHAnsi" w:hAnsiTheme="majorHAnsi" w:cstheme="majorHAnsi"/>
              </w:rPr>
            </w:pPr>
            <w:r w:rsidRPr="00EC1405">
              <w:rPr>
                <w:rFonts w:asciiTheme="majorHAnsi" w:hAnsiTheme="majorHAnsi" w:cstheme="majorHAnsi"/>
              </w:rPr>
              <w:t>Impuesto sobre Vehículos de Tracción Mecánica (“IVTM”)</w:t>
            </w:r>
          </w:p>
        </w:tc>
        <w:tc>
          <w:tcPr>
            <w:tcW w:w="1417" w:type="dxa"/>
          </w:tcPr>
          <w:p w14:paraId="6AC36E20" w14:textId="77777777" w:rsidR="001B0D2D" w:rsidRPr="009B15FA" w:rsidRDefault="001B0D2D" w:rsidP="00671E78">
            <w:pPr>
              <w:jc w:val="both"/>
              <w:rPr>
                <w:rFonts w:asciiTheme="majorHAnsi" w:hAnsiTheme="majorHAnsi" w:cstheme="majorHAnsi"/>
              </w:rPr>
            </w:pPr>
          </w:p>
        </w:tc>
      </w:tr>
      <w:tr w:rsidR="00EC1405" w:rsidRPr="00EC1405" w14:paraId="2744630A" w14:textId="77777777" w:rsidTr="00671E78">
        <w:tc>
          <w:tcPr>
            <w:tcW w:w="6379" w:type="dxa"/>
          </w:tcPr>
          <w:p w14:paraId="2CAC01C9" w14:textId="224564E7" w:rsidR="001B0D2D" w:rsidRPr="00EC1405" w:rsidRDefault="008820B6" w:rsidP="00671E78">
            <w:pPr>
              <w:pStyle w:val="Prrafodelista"/>
              <w:numPr>
                <w:ilvl w:val="0"/>
                <w:numId w:val="21"/>
              </w:numPr>
              <w:autoSpaceDE w:val="0"/>
              <w:autoSpaceDN w:val="0"/>
              <w:adjustRightInd w:val="0"/>
              <w:jc w:val="both"/>
              <w:rPr>
                <w:rFonts w:asciiTheme="majorHAnsi" w:hAnsiTheme="majorHAnsi" w:cstheme="majorHAnsi"/>
              </w:rPr>
            </w:pPr>
            <w:r w:rsidRPr="00EC1405">
              <w:rPr>
                <w:rFonts w:asciiTheme="majorHAnsi" w:hAnsiTheme="majorHAnsi" w:cstheme="majorHAnsi"/>
              </w:rPr>
              <w:t>Impuesto sobre el Incremento del Valor de los Terrenos de Naturaleza Urbana (“Plusvalía”)</w:t>
            </w:r>
          </w:p>
        </w:tc>
        <w:tc>
          <w:tcPr>
            <w:tcW w:w="1417" w:type="dxa"/>
          </w:tcPr>
          <w:p w14:paraId="5DCD47B2" w14:textId="77777777" w:rsidR="001B0D2D" w:rsidRPr="009B15FA" w:rsidRDefault="001B0D2D" w:rsidP="00671E78">
            <w:pPr>
              <w:jc w:val="both"/>
              <w:rPr>
                <w:rFonts w:asciiTheme="majorHAnsi" w:hAnsiTheme="majorHAnsi" w:cstheme="majorHAnsi"/>
              </w:rPr>
            </w:pPr>
          </w:p>
        </w:tc>
      </w:tr>
      <w:tr w:rsidR="00EC1405" w:rsidRPr="00EC1405" w14:paraId="379D4D8A" w14:textId="77777777" w:rsidTr="00671E78">
        <w:tc>
          <w:tcPr>
            <w:tcW w:w="6379" w:type="dxa"/>
          </w:tcPr>
          <w:p w14:paraId="3743EA91" w14:textId="3C53EBFE" w:rsidR="001B0D2D" w:rsidRPr="00EC1405" w:rsidRDefault="009139B6" w:rsidP="00671E78">
            <w:pPr>
              <w:pStyle w:val="Prrafodelista"/>
              <w:numPr>
                <w:ilvl w:val="0"/>
                <w:numId w:val="21"/>
              </w:numPr>
              <w:autoSpaceDE w:val="0"/>
              <w:autoSpaceDN w:val="0"/>
              <w:adjustRightInd w:val="0"/>
              <w:jc w:val="both"/>
              <w:rPr>
                <w:rFonts w:asciiTheme="majorHAnsi" w:eastAsia="Times New Roman" w:hAnsiTheme="majorHAnsi" w:cstheme="majorHAnsi"/>
                <w:lang w:eastAsia="es-ES"/>
              </w:rPr>
            </w:pPr>
            <w:r w:rsidRPr="00EC1405">
              <w:rPr>
                <w:rFonts w:asciiTheme="majorHAnsi" w:eastAsia="Times New Roman" w:hAnsiTheme="majorHAnsi" w:cstheme="majorHAnsi"/>
                <w:lang w:eastAsia="es-ES"/>
              </w:rPr>
              <w:t>Tasa por Ocupación del suelo, subsuelo y vuelo (“Tasa ocupación”)</w:t>
            </w:r>
          </w:p>
        </w:tc>
        <w:tc>
          <w:tcPr>
            <w:tcW w:w="1417" w:type="dxa"/>
          </w:tcPr>
          <w:p w14:paraId="438A9C5C" w14:textId="77777777" w:rsidR="001B0D2D" w:rsidRPr="009B15FA" w:rsidRDefault="001B0D2D" w:rsidP="00671E78">
            <w:pPr>
              <w:jc w:val="both"/>
              <w:rPr>
                <w:rFonts w:asciiTheme="majorHAnsi" w:hAnsiTheme="majorHAnsi" w:cstheme="majorHAnsi"/>
              </w:rPr>
            </w:pPr>
          </w:p>
        </w:tc>
      </w:tr>
      <w:tr w:rsidR="00EC1405" w:rsidRPr="00EC1405" w14:paraId="418D872F" w14:textId="77777777" w:rsidTr="00671E78">
        <w:tc>
          <w:tcPr>
            <w:tcW w:w="6379" w:type="dxa"/>
          </w:tcPr>
          <w:p w14:paraId="7E89EB3E" w14:textId="388B8FB6" w:rsidR="001B0D2D" w:rsidRPr="00EC1405" w:rsidRDefault="009139B6" w:rsidP="00671E78">
            <w:pPr>
              <w:pStyle w:val="Prrafodelista"/>
              <w:numPr>
                <w:ilvl w:val="0"/>
                <w:numId w:val="21"/>
              </w:numPr>
              <w:autoSpaceDE w:val="0"/>
              <w:autoSpaceDN w:val="0"/>
              <w:adjustRightInd w:val="0"/>
              <w:jc w:val="both"/>
              <w:rPr>
                <w:rFonts w:asciiTheme="majorHAnsi" w:eastAsia="Times New Roman" w:hAnsiTheme="majorHAnsi" w:cstheme="majorHAnsi"/>
                <w:lang w:eastAsia="es-ES"/>
              </w:rPr>
            </w:pPr>
            <w:r w:rsidRPr="00EC1405">
              <w:rPr>
                <w:rFonts w:asciiTheme="majorHAnsi" w:eastAsia="Times New Roman" w:hAnsiTheme="majorHAnsi" w:cstheme="majorHAnsi"/>
                <w:lang w:eastAsia="es-ES"/>
              </w:rPr>
              <w:t>Tasa sobre recogida de basuras (“Tasa basuras”)</w:t>
            </w:r>
          </w:p>
        </w:tc>
        <w:tc>
          <w:tcPr>
            <w:tcW w:w="1417" w:type="dxa"/>
          </w:tcPr>
          <w:p w14:paraId="0C129FEA" w14:textId="77777777" w:rsidR="001B0D2D" w:rsidRPr="009B15FA" w:rsidRDefault="001B0D2D" w:rsidP="00671E78">
            <w:pPr>
              <w:jc w:val="both"/>
              <w:rPr>
                <w:rFonts w:asciiTheme="majorHAnsi" w:hAnsiTheme="majorHAnsi" w:cstheme="majorHAnsi"/>
              </w:rPr>
            </w:pPr>
          </w:p>
        </w:tc>
      </w:tr>
      <w:tr w:rsidR="00EC1405" w:rsidRPr="00EC1405" w14:paraId="5BD6D111" w14:textId="77777777" w:rsidTr="00671E78">
        <w:tc>
          <w:tcPr>
            <w:tcW w:w="6379" w:type="dxa"/>
          </w:tcPr>
          <w:p w14:paraId="1DCC804A" w14:textId="657CAAF5" w:rsidR="001B0D2D" w:rsidRPr="00EC1405" w:rsidRDefault="009139B6" w:rsidP="00520A26">
            <w:pPr>
              <w:pStyle w:val="Prrafodelista"/>
              <w:numPr>
                <w:ilvl w:val="0"/>
                <w:numId w:val="21"/>
              </w:numPr>
              <w:spacing w:line="320" w:lineRule="atLeast"/>
              <w:jc w:val="both"/>
              <w:rPr>
                <w:rFonts w:asciiTheme="majorHAnsi" w:eastAsia="Times New Roman" w:hAnsiTheme="majorHAnsi" w:cstheme="majorHAnsi"/>
                <w:lang w:eastAsia="es-ES"/>
              </w:rPr>
            </w:pPr>
            <w:r w:rsidRPr="00EC1405">
              <w:rPr>
                <w:rFonts w:asciiTheme="majorHAnsi" w:eastAsia="Times New Roman" w:hAnsiTheme="majorHAnsi" w:cstheme="majorHAnsi"/>
                <w:lang w:eastAsia="es-ES"/>
              </w:rPr>
              <w:t>Tasa por servicios urbanísticos (“Tasa SSUU”)</w:t>
            </w:r>
          </w:p>
        </w:tc>
        <w:tc>
          <w:tcPr>
            <w:tcW w:w="1417" w:type="dxa"/>
          </w:tcPr>
          <w:p w14:paraId="49625154" w14:textId="77777777" w:rsidR="001B0D2D" w:rsidRPr="009B15FA" w:rsidRDefault="001B0D2D" w:rsidP="00671E78">
            <w:pPr>
              <w:jc w:val="both"/>
              <w:rPr>
                <w:rFonts w:asciiTheme="majorHAnsi" w:hAnsiTheme="majorHAnsi" w:cstheme="majorHAnsi"/>
              </w:rPr>
            </w:pPr>
          </w:p>
        </w:tc>
      </w:tr>
      <w:tr w:rsidR="00EC1405" w:rsidRPr="00EC1405" w14:paraId="78DE08CA" w14:textId="77777777" w:rsidTr="00671E78">
        <w:tc>
          <w:tcPr>
            <w:tcW w:w="6379" w:type="dxa"/>
          </w:tcPr>
          <w:p w14:paraId="58C13E43" w14:textId="645F94F2" w:rsidR="00500BAE" w:rsidRPr="00EC1405" w:rsidRDefault="00500BAE" w:rsidP="00520A26">
            <w:pPr>
              <w:pStyle w:val="Prrafodelista"/>
              <w:numPr>
                <w:ilvl w:val="0"/>
                <w:numId w:val="21"/>
              </w:numPr>
              <w:spacing w:line="320" w:lineRule="atLeast"/>
              <w:jc w:val="both"/>
              <w:rPr>
                <w:rFonts w:asciiTheme="majorHAnsi" w:eastAsia="Times New Roman" w:hAnsiTheme="majorHAnsi" w:cstheme="majorHAnsi"/>
                <w:lang w:eastAsia="es-ES"/>
              </w:rPr>
            </w:pPr>
            <w:r w:rsidRPr="00EC1405">
              <w:rPr>
                <w:rFonts w:asciiTheme="majorHAnsi" w:hAnsiTheme="majorHAnsi" w:cstheme="majorHAnsi"/>
              </w:rPr>
              <w:t>Impuesto sobre Bienes Inmuebles (“IBI”)</w:t>
            </w:r>
          </w:p>
        </w:tc>
        <w:tc>
          <w:tcPr>
            <w:tcW w:w="1417" w:type="dxa"/>
          </w:tcPr>
          <w:p w14:paraId="087E85C2" w14:textId="77777777" w:rsidR="00500BAE" w:rsidRPr="009B15FA" w:rsidRDefault="00500BAE" w:rsidP="00671E78">
            <w:pPr>
              <w:jc w:val="both"/>
              <w:rPr>
                <w:rFonts w:asciiTheme="majorHAnsi" w:hAnsiTheme="majorHAnsi" w:cstheme="majorHAnsi"/>
              </w:rPr>
            </w:pPr>
          </w:p>
        </w:tc>
      </w:tr>
      <w:tr w:rsidR="00EC1405" w:rsidRPr="00EC1405" w14:paraId="5A490968" w14:textId="77777777" w:rsidTr="00671E78">
        <w:tc>
          <w:tcPr>
            <w:tcW w:w="6379" w:type="dxa"/>
          </w:tcPr>
          <w:p w14:paraId="65871A39" w14:textId="5C36CED4" w:rsidR="009139B6" w:rsidRPr="00EC1405" w:rsidRDefault="005F1579" w:rsidP="00D56EC3">
            <w:pPr>
              <w:pStyle w:val="Prrafodelista"/>
              <w:numPr>
                <w:ilvl w:val="0"/>
                <w:numId w:val="21"/>
              </w:numPr>
              <w:spacing w:line="320" w:lineRule="atLeast"/>
              <w:jc w:val="both"/>
              <w:rPr>
                <w:rFonts w:asciiTheme="majorHAnsi" w:eastAsia="Times New Roman" w:hAnsiTheme="majorHAnsi" w:cstheme="majorHAnsi"/>
                <w:lang w:eastAsia="es-ES"/>
              </w:rPr>
            </w:pPr>
            <w:r w:rsidRPr="00EC1405">
              <w:rPr>
                <w:rFonts w:asciiTheme="majorHAnsi" w:eastAsia="Times New Roman" w:hAnsiTheme="majorHAnsi" w:cstheme="majorHAnsi"/>
                <w:highlight w:val="lightGray"/>
                <w:lang w:eastAsia="es-ES"/>
              </w:rPr>
              <w:t>Otros….. ESPECIFICAR</w:t>
            </w:r>
            <w:r w:rsidR="00520A26" w:rsidRPr="00EC1405">
              <w:rPr>
                <w:rFonts w:asciiTheme="majorHAnsi" w:eastAsia="Times New Roman" w:hAnsiTheme="majorHAnsi" w:cstheme="majorHAnsi"/>
                <w:lang w:eastAsia="es-ES"/>
              </w:rPr>
              <w:t>:</w:t>
            </w:r>
          </w:p>
          <w:p w14:paraId="7A384833" w14:textId="77777777" w:rsidR="00520A26" w:rsidRPr="00EC1405" w:rsidRDefault="00520A26" w:rsidP="00520A26">
            <w:pPr>
              <w:pStyle w:val="Prrafodelista"/>
              <w:spacing w:line="320" w:lineRule="atLeast"/>
              <w:jc w:val="both"/>
              <w:rPr>
                <w:rFonts w:asciiTheme="majorHAnsi" w:eastAsia="Times New Roman" w:hAnsiTheme="majorHAnsi" w:cstheme="majorHAnsi"/>
                <w:lang w:eastAsia="es-ES"/>
              </w:rPr>
            </w:pPr>
          </w:p>
          <w:p w14:paraId="5C8141C6" w14:textId="13000805" w:rsidR="00520A26" w:rsidRPr="00EC1405" w:rsidRDefault="00520A26" w:rsidP="00520A26">
            <w:pPr>
              <w:pStyle w:val="Prrafodelista"/>
              <w:spacing w:line="320" w:lineRule="atLeast"/>
              <w:jc w:val="both"/>
              <w:rPr>
                <w:rFonts w:asciiTheme="majorHAnsi" w:eastAsia="Times New Roman" w:hAnsiTheme="majorHAnsi" w:cstheme="majorHAnsi"/>
                <w:lang w:eastAsia="es-ES"/>
              </w:rPr>
            </w:pPr>
          </w:p>
        </w:tc>
        <w:tc>
          <w:tcPr>
            <w:tcW w:w="1417" w:type="dxa"/>
          </w:tcPr>
          <w:p w14:paraId="65C539D8" w14:textId="77777777" w:rsidR="009139B6" w:rsidRPr="009B15FA" w:rsidRDefault="009139B6" w:rsidP="00671E78">
            <w:pPr>
              <w:jc w:val="both"/>
              <w:rPr>
                <w:rFonts w:asciiTheme="majorHAnsi" w:hAnsiTheme="majorHAnsi" w:cstheme="majorHAnsi"/>
              </w:rPr>
            </w:pPr>
          </w:p>
        </w:tc>
      </w:tr>
      <w:bookmarkEnd w:id="0"/>
    </w:tbl>
    <w:p w14:paraId="0D09A80B" w14:textId="77777777" w:rsidR="00D02329" w:rsidRPr="00EC1405" w:rsidRDefault="00D02329" w:rsidP="00D02329">
      <w:pPr>
        <w:spacing w:after="0" w:line="320" w:lineRule="atLeast"/>
        <w:rPr>
          <w:rFonts w:asciiTheme="majorHAnsi" w:hAnsiTheme="majorHAnsi" w:cstheme="majorHAnsi"/>
        </w:rPr>
      </w:pPr>
    </w:p>
    <w:p w14:paraId="164846C7" w14:textId="74FF616C" w:rsidR="00763F61" w:rsidRPr="009B15FA" w:rsidRDefault="00763F61" w:rsidP="00763F61">
      <w:pPr>
        <w:pStyle w:val="Prrafodelista"/>
        <w:numPr>
          <w:ilvl w:val="0"/>
          <w:numId w:val="10"/>
        </w:numPr>
        <w:spacing w:after="0" w:line="320" w:lineRule="atLeast"/>
        <w:jc w:val="both"/>
        <w:rPr>
          <w:rFonts w:asciiTheme="majorHAnsi" w:hAnsiTheme="majorHAnsi" w:cstheme="majorHAnsi"/>
        </w:rPr>
      </w:pPr>
      <w:r w:rsidRPr="00EC1405">
        <w:rPr>
          <w:rFonts w:asciiTheme="majorHAnsi" w:hAnsiTheme="majorHAnsi" w:cstheme="majorHAnsi"/>
          <w:b/>
          <w:bCs/>
        </w:rPr>
        <w:t>Duración del contrato basado</w:t>
      </w:r>
      <w:r w:rsidR="006C4A11" w:rsidRPr="00EC1405">
        <w:rPr>
          <w:rFonts w:asciiTheme="majorHAnsi" w:hAnsiTheme="majorHAnsi" w:cstheme="majorHAnsi"/>
        </w:rPr>
        <w:t xml:space="preserve"> (Cláusula 21.4 del PCA</w:t>
      </w:r>
      <w:r w:rsidR="00520A26" w:rsidRPr="00EC1405">
        <w:rPr>
          <w:rStyle w:val="Refdenotaalpie"/>
          <w:rFonts w:asciiTheme="majorHAnsi" w:hAnsiTheme="majorHAnsi" w:cstheme="majorHAnsi"/>
        </w:rPr>
        <w:footnoteReference w:id="1"/>
      </w:r>
      <w:r w:rsidR="006C4A11" w:rsidRPr="00EC1405">
        <w:rPr>
          <w:rFonts w:asciiTheme="majorHAnsi" w:hAnsiTheme="majorHAnsi" w:cstheme="majorHAnsi"/>
        </w:rPr>
        <w:t>)</w:t>
      </w:r>
      <w:r w:rsidRPr="00EC1405">
        <w:rPr>
          <w:rFonts w:asciiTheme="majorHAnsi" w:hAnsiTheme="majorHAnsi" w:cstheme="majorHAnsi"/>
        </w:rPr>
        <w:t>:</w:t>
      </w:r>
      <w:r w:rsidR="00520A26" w:rsidRPr="00EC1405">
        <w:rPr>
          <w:rFonts w:asciiTheme="majorHAnsi" w:hAnsiTheme="majorHAnsi" w:cstheme="majorHAnsi"/>
        </w:rPr>
        <w:t xml:space="preserve"> Marcar una de las opciones </w:t>
      </w:r>
    </w:p>
    <w:p w14:paraId="260D6FD7" w14:textId="77777777" w:rsidR="00520A26" w:rsidRPr="009B15FA" w:rsidRDefault="00520A26" w:rsidP="00520A26">
      <w:pPr>
        <w:pStyle w:val="Prrafodelista"/>
        <w:spacing w:after="0" w:line="320" w:lineRule="atLeast"/>
        <w:jc w:val="both"/>
        <w:rPr>
          <w:rFonts w:asciiTheme="majorHAnsi" w:hAnsiTheme="majorHAnsi" w:cstheme="majorHAnsi"/>
        </w:rPr>
      </w:pPr>
    </w:p>
    <w:tbl>
      <w:tblPr>
        <w:tblStyle w:val="Tablaconcuadrcula"/>
        <w:tblW w:w="0" w:type="auto"/>
        <w:tblInd w:w="720" w:type="dxa"/>
        <w:tblLook w:val="04A0" w:firstRow="1" w:lastRow="0" w:firstColumn="1" w:lastColumn="0" w:noHBand="0" w:noVBand="1"/>
      </w:tblPr>
      <w:tblGrid>
        <w:gridCol w:w="6646"/>
        <w:gridCol w:w="1128"/>
      </w:tblGrid>
      <w:tr w:rsidR="00EC1405" w:rsidRPr="00EC1405" w14:paraId="3F0DF03A" w14:textId="77777777" w:rsidTr="00520A26">
        <w:tc>
          <w:tcPr>
            <w:tcW w:w="6646" w:type="dxa"/>
          </w:tcPr>
          <w:p w14:paraId="11698332" w14:textId="1BA348D2" w:rsidR="00520A26" w:rsidRPr="00EC1405" w:rsidRDefault="00520A26" w:rsidP="00763F61">
            <w:pPr>
              <w:pStyle w:val="Prrafodelista"/>
              <w:spacing w:line="320" w:lineRule="atLeast"/>
              <w:ind w:left="0"/>
              <w:jc w:val="both"/>
              <w:rPr>
                <w:rFonts w:asciiTheme="majorHAnsi" w:hAnsiTheme="majorHAnsi" w:cstheme="majorHAnsi"/>
              </w:rPr>
            </w:pPr>
            <w:bookmarkStart w:id="2" w:name="_Hlk168659583"/>
            <w:r w:rsidRPr="00EC1405">
              <w:rPr>
                <w:rFonts w:asciiTheme="majorHAnsi" w:hAnsiTheme="majorHAnsi" w:cstheme="majorHAnsi"/>
              </w:rPr>
              <w:t xml:space="preserve">12 meses </w:t>
            </w:r>
          </w:p>
        </w:tc>
        <w:tc>
          <w:tcPr>
            <w:tcW w:w="1128" w:type="dxa"/>
          </w:tcPr>
          <w:p w14:paraId="17DAC6EB" w14:textId="77777777" w:rsidR="00520A26" w:rsidRPr="009B15FA" w:rsidRDefault="00520A26" w:rsidP="00763F61">
            <w:pPr>
              <w:pStyle w:val="Prrafodelista"/>
              <w:spacing w:line="320" w:lineRule="atLeast"/>
              <w:ind w:left="0"/>
              <w:jc w:val="both"/>
              <w:rPr>
                <w:rFonts w:asciiTheme="majorHAnsi" w:hAnsiTheme="majorHAnsi" w:cstheme="majorHAnsi"/>
              </w:rPr>
            </w:pPr>
          </w:p>
        </w:tc>
      </w:tr>
      <w:tr w:rsidR="00EC1405" w:rsidRPr="00EC1405" w14:paraId="4EB8BF1A" w14:textId="77777777" w:rsidTr="00520A26">
        <w:tc>
          <w:tcPr>
            <w:tcW w:w="6646" w:type="dxa"/>
          </w:tcPr>
          <w:p w14:paraId="14C5A628" w14:textId="46844FB9" w:rsidR="00520A26" w:rsidRPr="00EC1405" w:rsidRDefault="00520A26" w:rsidP="00763F61">
            <w:pPr>
              <w:pStyle w:val="Prrafodelista"/>
              <w:spacing w:line="320" w:lineRule="atLeast"/>
              <w:ind w:left="0"/>
              <w:jc w:val="both"/>
              <w:rPr>
                <w:rFonts w:asciiTheme="majorHAnsi" w:hAnsiTheme="majorHAnsi" w:cstheme="majorHAnsi"/>
              </w:rPr>
            </w:pPr>
            <w:r w:rsidRPr="00EC1405">
              <w:rPr>
                <w:rFonts w:asciiTheme="majorHAnsi" w:hAnsiTheme="majorHAnsi" w:cstheme="majorHAnsi"/>
              </w:rPr>
              <w:t xml:space="preserve">12 meses + 12 meses </w:t>
            </w:r>
            <w:r w:rsidR="001C121A">
              <w:rPr>
                <w:rFonts w:asciiTheme="majorHAnsi" w:hAnsiTheme="majorHAnsi" w:cstheme="majorHAnsi"/>
              </w:rPr>
              <w:t>prórroga</w:t>
            </w:r>
            <w:r w:rsidR="00004AFB">
              <w:rPr>
                <w:rFonts w:asciiTheme="majorHAnsi" w:hAnsiTheme="majorHAnsi" w:cstheme="majorHAnsi"/>
              </w:rPr>
              <w:t xml:space="preserve"> (24 meses total, incluyendo prórroga)</w:t>
            </w:r>
          </w:p>
        </w:tc>
        <w:tc>
          <w:tcPr>
            <w:tcW w:w="1128" w:type="dxa"/>
          </w:tcPr>
          <w:p w14:paraId="7D841223" w14:textId="77777777" w:rsidR="00520A26" w:rsidRPr="009B15FA" w:rsidRDefault="00520A26" w:rsidP="00763F61">
            <w:pPr>
              <w:pStyle w:val="Prrafodelista"/>
              <w:spacing w:line="320" w:lineRule="atLeast"/>
              <w:ind w:left="0"/>
              <w:jc w:val="both"/>
              <w:rPr>
                <w:rFonts w:asciiTheme="majorHAnsi" w:hAnsiTheme="majorHAnsi" w:cstheme="majorHAnsi"/>
              </w:rPr>
            </w:pPr>
          </w:p>
        </w:tc>
      </w:tr>
      <w:bookmarkEnd w:id="2"/>
    </w:tbl>
    <w:p w14:paraId="0A5D1C5C" w14:textId="407FF965" w:rsidR="002234D4" w:rsidRPr="00520A26" w:rsidRDefault="002234D4" w:rsidP="00520A26">
      <w:pPr>
        <w:spacing w:after="0" w:line="320" w:lineRule="atLeast"/>
        <w:jc w:val="both"/>
        <w:rPr>
          <w:rFonts w:asciiTheme="majorHAnsi" w:hAnsiTheme="majorHAnsi" w:cstheme="majorHAnsi"/>
          <w:i/>
        </w:rPr>
      </w:pPr>
    </w:p>
    <w:p w14:paraId="2DA407A6" w14:textId="26644C6A" w:rsidR="0055241B" w:rsidRPr="00C373B5" w:rsidRDefault="0055241B" w:rsidP="0055241B">
      <w:pPr>
        <w:pStyle w:val="Prrafodelista"/>
        <w:numPr>
          <w:ilvl w:val="0"/>
          <w:numId w:val="10"/>
        </w:numPr>
        <w:spacing w:after="0" w:line="320" w:lineRule="atLeast"/>
        <w:jc w:val="both"/>
        <w:rPr>
          <w:rFonts w:asciiTheme="majorHAnsi" w:hAnsiTheme="majorHAnsi" w:cstheme="majorHAnsi"/>
        </w:rPr>
      </w:pPr>
      <w:r w:rsidRPr="00C373B5">
        <w:rPr>
          <w:rFonts w:asciiTheme="majorHAnsi" w:hAnsiTheme="majorHAnsi" w:cstheme="majorHAnsi"/>
          <w:b/>
          <w:bCs/>
        </w:rPr>
        <w:t xml:space="preserve">Valor estimado </w:t>
      </w:r>
      <w:r w:rsidR="003F72F9" w:rsidRPr="00C373B5">
        <w:rPr>
          <w:rFonts w:asciiTheme="majorHAnsi" w:hAnsiTheme="majorHAnsi" w:cstheme="majorHAnsi"/>
          <w:b/>
          <w:bCs/>
        </w:rPr>
        <w:t xml:space="preserve">del contrato </w:t>
      </w:r>
      <w:r w:rsidRPr="00C373B5">
        <w:rPr>
          <w:rFonts w:asciiTheme="majorHAnsi" w:hAnsiTheme="majorHAnsi" w:cstheme="majorHAnsi"/>
        </w:rPr>
        <w:t>(Cláusula 21.1.A del PCA):</w:t>
      </w:r>
    </w:p>
    <w:p w14:paraId="609BA184" w14:textId="77777777" w:rsidR="003F72F9" w:rsidRPr="00C373B5" w:rsidRDefault="003F72F9" w:rsidP="00D02329">
      <w:pPr>
        <w:spacing w:after="0" w:line="320" w:lineRule="atLeast"/>
        <w:rPr>
          <w:rFonts w:asciiTheme="majorHAnsi" w:hAnsiTheme="majorHAnsi" w:cstheme="majorHAnsi"/>
        </w:rPr>
      </w:pPr>
    </w:p>
    <w:p w14:paraId="0C07606D" w14:textId="0BDB3D6C" w:rsidR="003F72F9" w:rsidRPr="003F72F9" w:rsidRDefault="003F72F9" w:rsidP="00C373B5">
      <w:pPr>
        <w:spacing w:after="0" w:line="240" w:lineRule="auto"/>
        <w:ind w:left="708"/>
        <w:jc w:val="both"/>
        <w:rPr>
          <w:rFonts w:asciiTheme="majorHAnsi" w:hAnsiTheme="majorHAnsi" w:cstheme="majorHAnsi"/>
          <w:color w:val="FF0000"/>
        </w:rPr>
      </w:pPr>
      <w:r w:rsidRPr="00C373B5">
        <w:rPr>
          <w:rFonts w:asciiTheme="majorHAnsi" w:hAnsiTheme="majorHAnsi" w:cstheme="majorHAnsi"/>
        </w:rPr>
        <w:t>[</w:t>
      </w:r>
      <w:r w:rsidRPr="00C373B5">
        <w:rPr>
          <w:rFonts w:asciiTheme="majorHAnsi" w:hAnsiTheme="majorHAnsi" w:cstheme="majorHAnsi"/>
          <w:highlight w:val="lightGray"/>
        </w:rPr>
        <w:t>Especificar por la Entidad Local</w:t>
      </w:r>
      <w:r w:rsidRPr="00C373B5">
        <w:rPr>
          <w:rFonts w:asciiTheme="majorHAnsi" w:hAnsiTheme="majorHAnsi" w:cstheme="majorHAnsi"/>
        </w:rPr>
        <w:t>]</w:t>
      </w:r>
      <w:bookmarkStart w:id="3" w:name="_Hlk63776816"/>
      <w:r w:rsidR="00B57C4A" w:rsidRPr="00C373B5">
        <w:rPr>
          <w:rFonts w:asciiTheme="majorHAnsi" w:hAnsiTheme="majorHAnsi" w:cstheme="majorHAnsi"/>
        </w:rPr>
        <w:t xml:space="preserve"> </w:t>
      </w:r>
      <w:r w:rsidR="00B57C4A" w:rsidRPr="00C373B5">
        <w:rPr>
          <w:rFonts w:asciiTheme="majorHAnsi" w:hAnsiTheme="majorHAnsi" w:cstheme="majorHAnsi"/>
          <w:i/>
        </w:rPr>
        <w:t>teniendo en cuenta que</w:t>
      </w:r>
      <w:r w:rsidR="00B57C4A" w:rsidRPr="00C373B5">
        <w:rPr>
          <w:rFonts w:asciiTheme="majorHAnsi" w:hAnsiTheme="majorHAnsi" w:cstheme="majorHAnsi"/>
        </w:rPr>
        <w:t xml:space="preserve"> </w:t>
      </w:r>
      <w:r w:rsidR="00B57C4A" w:rsidRPr="00C373B5">
        <w:rPr>
          <w:rFonts w:asciiTheme="majorHAnsi" w:hAnsiTheme="majorHAnsi" w:cstheme="majorHAnsi"/>
          <w:i/>
        </w:rPr>
        <w:t>e</w:t>
      </w:r>
      <w:r w:rsidRPr="00C373B5">
        <w:rPr>
          <w:rFonts w:asciiTheme="majorHAnsi" w:hAnsiTheme="majorHAnsi" w:cstheme="majorHAnsi"/>
          <w:i/>
        </w:rPr>
        <w:t xml:space="preserve">l valor estimado del contrato se podrá calcular sobre la base del porcentaje ofertados por la adjudicataria del Acuerdo Marco, en sus diferentes parámetros (porcentaje de recaudación en el marco de procedimientos de inspección tributaria y porcentaje de recaudación en el marco de procedimientos sancionadores derivados de los anteriores), multiplicado por la cantidad estimada de las liquidaciones efectuadas (y/o a efectuar) y de las sanciones percibidas o previstas, teniendo en cuenta </w:t>
      </w:r>
      <w:r w:rsidRPr="003F72F9">
        <w:rPr>
          <w:rFonts w:asciiTheme="majorHAnsi" w:hAnsiTheme="majorHAnsi" w:cstheme="majorHAnsi"/>
          <w:i/>
        </w:rPr>
        <w:t>la duración del contrato, o de cualquier otra forma análoga a criterio de la Entidad Local.</w:t>
      </w:r>
    </w:p>
    <w:bookmarkEnd w:id="3"/>
    <w:p w14:paraId="4D063321" w14:textId="77777777" w:rsidR="002234D4" w:rsidRPr="004B7D5E" w:rsidRDefault="002234D4" w:rsidP="004B7D5E">
      <w:pPr>
        <w:spacing w:after="0" w:line="320" w:lineRule="atLeast"/>
        <w:jc w:val="both"/>
        <w:rPr>
          <w:rFonts w:asciiTheme="majorHAnsi" w:hAnsiTheme="majorHAnsi" w:cstheme="majorHAnsi"/>
          <w:color w:val="FF0000"/>
        </w:rPr>
      </w:pPr>
    </w:p>
    <w:p w14:paraId="077E946B" w14:textId="17187899" w:rsidR="00AF20BD" w:rsidRPr="004B7D5E" w:rsidRDefault="0072681F" w:rsidP="0002377C">
      <w:pPr>
        <w:pStyle w:val="Prrafodelista"/>
        <w:numPr>
          <w:ilvl w:val="0"/>
          <w:numId w:val="10"/>
        </w:numPr>
        <w:spacing w:after="0" w:line="320" w:lineRule="atLeast"/>
        <w:jc w:val="both"/>
        <w:rPr>
          <w:rFonts w:asciiTheme="majorHAnsi" w:hAnsiTheme="majorHAnsi" w:cstheme="majorHAnsi"/>
        </w:rPr>
      </w:pPr>
      <w:r w:rsidRPr="004B7D5E">
        <w:rPr>
          <w:rFonts w:asciiTheme="majorHAnsi" w:hAnsiTheme="majorHAnsi" w:cstheme="majorHAnsi"/>
          <w:b/>
          <w:bCs/>
        </w:rPr>
        <w:t>Revisión de precios</w:t>
      </w:r>
      <w:r w:rsidRPr="004B7D5E">
        <w:rPr>
          <w:rFonts w:asciiTheme="majorHAnsi" w:hAnsiTheme="majorHAnsi" w:cstheme="majorHAnsi"/>
        </w:rPr>
        <w:t>: No</w:t>
      </w:r>
      <w:r w:rsidR="0002377C" w:rsidRPr="004B7D5E">
        <w:rPr>
          <w:rFonts w:asciiTheme="majorHAnsi" w:hAnsiTheme="majorHAnsi" w:cstheme="majorHAnsi"/>
        </w:rPr>
        <w:t xml:space="preserve"> (Cláusula 21.</w:t>
      </w:r>
      <w:r w:rsidR="004B7D5E" w:rsidRPr="004B7D5E">
        <w:rPr>
          <w:rFonts w:asciiTheme="majorHAnsi" w:hAnsiTheme="majorHAnsi" w:cstheme="majorHAnsi"/>
        </w:rPr>
        <w:t>2</w:t>
      </w:r>
      <w:r w:rsidR="0002377C" w:rsidRPr="004B7D5E">
        <w:rPr>
          <w:rFonts w:asciiTheme="majorHAnsi" w:hAnsiTheme="majorHAnsi" w:cstheme="majorHAnsi"/>
        </w:rPr>
        <w:t xml:space="preserve"> PCA)</w:t>
      </w:r>
    </w:p>
    <w:p w14:paraId="433FDCA6" w14:textId="77777777" w:rsidR="0002377C" w:rsidRPr="004B7D5E" w:rsidRDefault="0002377C" w:rsidP="007D4F2C">
      <w:pPr>
        <w:pStyle w:val="Prrafodelista"/>
        <w:spacing w:after="0" w:line="320" w:lineRule="atLeast"/>
        <w:jc w:val="both"/>
        <w:rPr>
          <w:rFonts w:asciiTheme="majorHAnsi" w:hAnsiTheme="majorHAnsi" w:cstheme="majorHAnsi"/>
        </w:rPr>
      </w:pPr>
    </w:p>
    <w:p w14:paraId="1E107B41" w14:textId="35DFD53F" w:rsidR="0072681F" w:rsidRDefault="00BB3909" w:rsidP="00D43A69">
      <w:pPr>
        <w:pStyle w:val="Prrafodelista"/>
        <w:numPr>
          <w:ilvl w:val="0"/>
          <w:numId w:val="10"/>
        </w:numPr>
        <w:spacing w:after="0" w:line="320" w:lineRule="atLeast"/>
        <w:jc w:val="both"/>
        <w:rPr>
          <w:rFonts w:asciiTheme="majorHAnsi" w:hAnsiTheme="majorHAnsi" w:cstheme="majorHAnsi"/>
        </w:rPr>
      </w:pPr>
      <w:bookmarkStart w:id="4" w:name="_Hlk168571886"/>
      <w:r w:rsidRPr="004B7D5E">
        <w:rPr>
          <w:rFonts w:asciiTheme="majorHAnsi" w:hAnsiTheme="majorHAnsi" w:cstheme="majorHAnsi"/>
          <w:b/>
          <w:bCs/>
        </w:rPr>
        <w:t>Garantías</w:t>
      </w:r>
      <w:r w:rsidR="004B7D5E" w:rsidRPr="004B7D5E">
        <w:rPr>
          <w:rFonts w:asciiTheme="majorHAnsi" w:hAnsiTheme="majorHAnsi" w:cstheme="majorHAnsi"/>
        </w:rPr>
        <w:t xml:space="preserve"> (Cláusula 21.6 del PCA)</w:t>
      </w:r>
      <w:r w:rsidRPr="004B7D5E">
        <w:rPr>
          <w:rFonts w:asciiTheme="majorHAnsi" w:hAnsiTheme="majorHAnsi" w:cstheme="majorHAnsi"/>
        </w:rPr>
        <w:t>:</w:t>
      </w:r>
      <w:r w:rsidR="00520A26">
        <w:rPr>
          <w:rFonts w:asciiTheme="majorHAnsi" w:hAnsiTheme="majorHAnsi" w:cstheme="majorHAnsi"/>
        </w:rPr>
        <w:t xml:space="preserve"> </w:t>
      </w:r>
      <w:r w:rsidR="00196650">
        <w:rPr>
          <w:rFonts w:asciiTheme="majorHAnsi" w:hAnsiTheme="majorHAnsi" w:cstheme="majorHAnsi"/>
        </w:rPr>
        <w:t xml:space="preserve">Marcar una de las opciones </w:t>
      </w:r>
    </w:p>
    <w:p w14:paraId="3E61FA0E" w14:textId="77777777" w:rsidR="00520A26" w:rsidRDefault="00520A26" w:rsidP="00520A26">
      <w:pPr>
        <w:pStyle w:val="Prrafodelista"/>
        <w:rPr>
          <w:rFonts w:asciiTheme="majorHAnsi" w:hAnsiTheme="majorHAnsi" w:cstheme="majorHAnsi"/>
        </w:rPr>
      </w:pPr>
    </w:p>
    <w:tbl>
      <w:tblPr>
        <w:tblStyle w:val="Tablaconcuadrcula"/>
        <w:tblW w:w="0" w:type="auto"/>
        <w:tblInd w:w="720" w:type="dxa"/>
        <w:tblLook w:val="04A0" w:firstRow="1" w:lastRow="0" w:firstColumn="1" w:lastColumn="0" w:noHBand="0" w:noVBand="1"/>
      </w:tblPr>
      <w:tblGrid>
        <w:gridCol w:w="6221"/>
        <w:gridCol w:w="1553"/>
      </w:tblGrid>
      <w:tr w:rsidR="00196650" w14:paraId="1AF416FB" w14:textId="77777777" w:rsidTr="00196650">
        <w:tc>
          <w:tcPr>
            <w:tcW w:w="6221" w:type="dxa"/>
          </w:tcPr>
          <w:p w14:paraId="08756184" w14:textId="77777777" w:rsidR="00196650" w:rsidRPr="00E82656" w:rsidRDefault="00196650" w:rsidP="00196650">
            <w:pPr>
              <w:pStyle w:val="Prrafodelista"/>
              <w:ind w:left="0"/>
              <w:jc w:val="both"/>
              <w:rPr>
                <w:rFonts w:asciiTheme="majorHAnsi" w:hAnsiTheme="majorHAnsi" w:cstheme="majorHAnsi"/>
                <w:sz w:val="20"/>
                <w:szCs w:val="20"/>
              </w:rPr>
            </w:pPr>
            <w:r w:rsidRPr="00E82656">
              <w:rPr>
                <w:rFonts w:asciiTheme="majorHAnsi" w:hAnsiTheme="majorHAnsi" w:cstheme="majorHAnsi"/>
                <w:sz w:val="20"/>
                <w:szCs w:val="20"/>
              </w:rPr>
              <w:lastRenderedPageBreak/>
              <w:t>Hare uso de la garantía presentada al Acuerdo Marco y que también responde de los incumplimientos en la ejecución de los contratos basados</w:t>
            </w:r>
          </w:p>
          <w:p w14:paraId="372FE6C7" w14:textId="77777777" w:rsidR="00196650" w:rsidRPr="00E82656" w:rsidRDefault="00196650" w:rsidP="00196650">
            <w:pPr>
              <w:pStyle w:val="Prrafodelista"/>
              <w:ind w:left="0"/>
              <w:jc w:val="both"/>
              <w:rPr>
                <w:rFonts w:asciiTheme="majorHAnsi" w:hAnsiTheme="majorHAnsi" w:cstheme="majorHAnsi"/>
                <w:sz w:val="20"/>
                <w:szCs w:val="20"/>
              </w:rPr>
            </w:pPr>
          </w:p>
        </w:tc>
        <w:tc>
          <w:tcPr>
            <w:tcW w:w="1553" w:type="dxa"/>
          </w:tcPr>
          <w:p w14:paraId="43B53D0E" w14:textId="77777777" w:rsidR="00196650" w:rsidRDefault="00196650" w:rsidP="00520A26">
            <w:pPr>
              <w:pStyle w:val="Prrafodelista"/>
              <w:ind w:left="0"/>
              <w:rPr>
                <w:rFonts w:asciiTheme="majorHAnsi" w:hAnsiTheme="majorHAnsi" w:cstheme="majorHAnsi"/>
              </w:rPr>
            </w:pPr>
          </w:p>
        </w:tc>
      </w:tr>
      <w:tr w:rsidR="00196650" w14:paraId="5B0167F4" w14:textId="77777777" w:rsidTr="00196650">
        <w:tc>
          <w:tcPr>
            <w:tcW w:w="6221" w:type="dxa"/>
          </w:tcPr>
          <w:p w14:paraId="4F73C1F1" w14:textId="76722F07" w:rsidR="00196650" w:rsidRPr="00E82656" w:rsidRDefault="00196650" w:rsidP="00196650">
            <w:pPr>
              <w:pStyle w:val="Prrafodelista"/>
              <w:ind w:left="0"/>
              <w:rPr>
                <w:rFonts w:asciiTheme="majorHAnsi" w:hAnsiTheme="majorHAnsi" w:cstheme="majorHAnsi"/>
                <w:sz w:val="20"/>
                <w:szCs w:val="20"/>
              </w:rPr>
            </w:pPr>
            <w:r w:rsidRPr="00E82656">
              <w:rPr>
                <w:rFonts w:asciiTheme="majorHAnsi" w:hAnsiTheme="majorHAnsi" w:cstheme="majorHAnsi"/>
                <w:sz w:val="20"/>
                <w:szCs w:val="20"/>
              </w:rPr>
              <w:t xml:space="preserve"> Solicito garantía especifica (concretar importe y ver nota al pie) </w:t>
            </w:r>
            <w:r w:rsidRPr="00E82656">
              <w:rPr>
                <w:rStyle w:val="Refdenotaalpie"/>
                <w:rFonts w:asciiTheme="majorHAnsi" w:hAnsiTheme="majorHAnsi" w:cstheme="majorHAnsi"/>
                <w:sz w:val="20"/>
                <w:szCs w:val="20"/>
              </w:rPr>
              <w:footnoteReference w:id="2"/>
            </w:r>
          </w:p>
          <w:p w14:paraId="753165E6" w14:textId="26E41345" w:rsidR="00196650" w:rsidRPr="00E82656" w:rsidRDefault="00196650" w:rsidP="00196650">
            <w:pPr>
              <w:pStyle w:val="Prrafodelista"/>
              <w:ind w:left="0"/>
              <w:jc w:val="both"/>
              <w:rPr>
                <w:rFonts w:asciiTheme="majorHAnsi" w:hAnsiTheme="majorHAnsi" w:cstheme="majorHAnsi"/>
                <w:sz w:val="20"/>
                <w:szCs w:val="20"/>
              </w:rPr>
            </w:pPr>
          </w:p>
        </w:tc>
        <w:tc>
          <w:tcPr>
            <w:tcW w:w="1553" w:type="dxa"/>
          </w:tcPr>
          <w:p w14:paraId="031F18A7" w14:textId="77777777" w:rsidR="00196650" w:rsidRDefault="00196650" w:rsidP="00520A26">
            <w:pPr>
              <w:pStyle w:val="Prrafodelista"/>
              <w:ind w:left="0"/>
              <w:rPr>
                <w:rFonts w:asciiTheme="majorHAnsi" w:hAnsiTheme="majorHAnsi" w:cstheme="majorHAnsi"/>
              </w:rPr>
            </w:pPr>
          </w:p>
        </w:tc>
      </w:tr>
    </w:tbl>
    <w:p w14:paraId="4BDA6829" w14:textId="14DABD38" w:rsidR="007D4F2C" w:rsidRPr="0080186C" w:rsidRDefault="007D4F2C" w:rsidP="007D4F2C">
      <w:pPr>
        <w:spacing w:after="0" w:line="320" w:lineRule="atLeast"/>
        <w:jc w:val="both"/>
        <w:rPr>
          <w:rFonts w:asciiTheme="majorHAnsi" w:hAnsiTheme="majorHAnsi" w:cstheme="majorHAnsi"/>
          <w:i/>
        </w:rPr>
      </w:pPr>
    </w:p>
    <w:p w14:paraId="38F132B4" w14:textId="77777777" w:rsidR="0078242F" w:rsidRPr="0080186C" w:rsidRDefault="007D4F2C" w:rsidP="0078242F">
      <w:pPr>
        <w:pStyle w:val="Prrafodelista"/>
        <w:numPr>
          <w:ilvl w:val="0"/>
          <w:numId w:val="14"/>
        </w:numPr>
        <w:spacing w:after="0" w:line="320" w:lineRule="atLeast"/>
        <w:jc w:val="both"/>
        <w:rPr>
          <w:rFonts w:asciiTheme="majorHAnsi" w:hAnsiTheme="majorHAnsi" w:cstheme="majorHAnsi"/>
          <w:b/>
        </w:rPr>
      </w:pPr>
      <w:r w:rsidRPr="0080186C">
        <w:rPr>
          <w:rFonts w:asciiTheme="majorHAnsi" w:hAnsiTheme="majorHAnsi" w:cstheme="majorHAnsi"/>
          <w:b/>
          <w:bCs/>
        </w:rPr>
        <w:t>Condición especial de ejecución</w:t>
      </w:r>
      <w:r w:rsidRPr="0080186C">
        <w:rPr>
          <w:rFonts w:asciiTheme="majorHAnsi" w:hAnsiTheme="majorHAnsi" w:cstheme="majorHAnsi"/>
        </w:rPr>
        <w:t xml:space="preserve">: </w:t>
      </w:r>
      <w:r w:rsidRPr="0080186C">
        <w:rPr>
          <w:rFonts w:asciiTheme="majorHAnsi" w:hAnsiTheme="majorHAnsi" w:cstheme="majorHAnsi"/>
          <w:i/>
          <w:iCs/>
        </w:rPr>
        <w:t>(</w:t>
      </w:r>
      <w:r w:rsidR="009D6F31" w:rsidRPr="0080186C">
        <w:rPr>
          <w:rFonts w:asciiTheme="majorHAnsi" w:hAnsiTheme="majorHAnsi" w:cstheme="majorHAnsi"/>
          <w:i/>
          <w:iCs/>
        </w:rPr>
        <w:t xml:space="preserve">Cláusulas </w:t>
      </w:r>
      <w:r w:rsidRPr="0080186C">
        <w:rPr>
          <w:rFonts w:asciiTheme="majorHAnsi" w:hAnsiTheme="majorHAnsi" w:cstheme="majorHAnsi"/>
          <w:i/>
          <w:iCs/>
        </w:rPr>
        <w:t>21.5</w:t>
      </w:r>
      <w:r w:rsidR="00EE576A" w:rsidRPr="0080186C">
        <w:rPr>
          <w:rFonts w:asciiTheme="majorHAnsi" w:hAnsiTheme="majorHAnsi" w:cstheme="majorHAnsi"/>
          <w:i/>
          <w:iCs/>
        </w:rPr>
        <w:t xml:space="preserve"> y 16.4</w:t>
      </w:r>
      <w:r w:rsidRPr="0080186C">
        <w:rPr>
          <w:rFonts w:asciiTheme="majorHAnsi" w:hAnsiTheme="majorHAnsi" w:cstheme="majorHAnsi"/>
          <w:i/>
          <w:iCs/>
        </w:rPr>
        <w:t xml:space="preserve"> del PCA</w:t>
      </w:r>
      <w:r w:rsidRPr="0080186C">
        <w:rPr>
          <w:rFonts w:asciiTheme="majorHAnsi" w:hAnsiTheme="majorHAnsi" w:cstheme="majorHAnsi"/>
        </w:rPr>
        <w:t xml:space="preserve">) </w:t>
      </w:r>
    </w:p>
    <w:p w14:paraId="75AB434E" w14:textId="77777777" w:rsidR="0078242F" w:rsidRPr="0080186C" w:rsidRDefault="0078242F" w:rsidP="0078242F">
      <w:pPr>
        <w:pStyle w:val="Prrafodelista"/>
        <w:spacing w:after="0" w:line="320" w:lineRule="atLeast"/>
        <w:jc w:val="both"/>
        <w:rPr>
          <w:rFonts w:asciiTheme="majorHAnsi" w:hAnsiTheme="majorHAnsi" w:cstheme="majorHAnsi"/>
          <w:b/>
          <w:bCs/>
        </w:rPr>
      </w:pPr>
    </w:p>
    <w:p w14:paraId="5B85CB32" w14:textId="264EE180" w:rsidR="009D6F31" w:rsidRDefault="009D6F31" w:rsidP="006C1555">
      <w:pPr>
        <w:pStyle w:val="Prrafodelista"/>
        <w:spacing w:after="0" w:line="240" w:lineRule="auto"/>
        <w:jc w:val="both"/>
        <w:rPr>
          <w:rFonts w:asciiTheme="majorHAnsi" w:hAnsiTheme="majorHAnsi" w:cstheme="majorHAnsi"/>
        </w:rPr>
      </w:pPr>
      <w:r w:rsidRPr="0080186C">
        <w:rPr>
          <w:rFonts w:asciiTheme="majorHAnsi" w:hAnsiTheme="majorHAnsi" w:cstheme="majorHAnsi"/>
        </w:rPr>
        <w:t>Con el objeto de favorecer la contratación de calidad, de acuerdo con el artículo 202 de la LCSP, durante la ejecución de los Contratos basados la adjudicataria tendrá la obligación de cumplir con la siguiente condición especial de ejecución:</w:t>
      </w:r>
      <w:r w:rsidR="00466DB9">
        <w:rPr>
          <w:rFonts w:asciiTheme="majorHAnsi" w:hAnsiTheme="majorHAnsi" w:cstheme="majorHAnsi"/>
        </w:rPr>
        <w:t xml:space="preserve"> </w:t>
      </w:r>
      <w:r w:rsidRPr="0080186C">
        <w:rPr>
          <w:rFonts w:asciiTheme="majorHAnsi" w:hAnsiTheme="majorHAnsi" w:cstheme="majorHAnsi"/>
        </w:rPr>
        <w:t xml:space="preserve">Que la adjudicataria tenga aprobadas, en el seno de su comisión mixta u órgano de representación de la dirección y del comité de trabajadores, medidas específicas de conciliación de la vida personal y familiar.  </w:t>
      </w:r>
    </w:p>
    <w:p w14:paraId="2FA66E39" w14:textId="77777777" w:rsidR="00466DB9" w:rsidRDefault="00466DB9" w:rsidP="00466DB9">
      <w:pPr>
        <w:pStyle w:val="Prrafodelista"/>
        <w:spacing w:after="0" w:line="320" w:lineRule="atLeast"/>
        <w:jc w:val="both"/>
        <w:rPr>
          <w:rFonts w:asciiTheme="majorHAnsi" w:hAnsiTheme="majorHAnsi" w:cstheme="majorHAnsi"/>
        </w:rPr>
      </w:pPr>
    </w:p>
    <w:p w14:paraId="77DE32D5" w14:textId="71EDE55F" w:rsidR="00466DB9" w:rsidRPr="0068395E" w:rsidRDefault="00925F3B" w:rsidP="00466DB9">
      <w:pPr>
        <w:pStyle w:val="Prrafodelista"/>
        <w:spacing w:after="0" w:line="320" w:lineRule="atLeast"/>
        <w:jc w:val="both"/>
        <w:rPr>
          <w:rFonts w:asciiTheme="majorHAnsi" w:hAnsiTheme="majorHAnsi" w:cstheme="majorHAnsi"/>
          <w:i/>
          <w:iCs/>
        </w:rPr>
      </w:pPr>
      <w:r w:rsidRPr="0068395E">
        <w:rPr>
          <w:rFonts w:asciiTheme="majorHAnsi" w:hAnsiTheme="majorHAnsi" w:cstheme="majorHAnsi"/>
          <w:i/>
          <w:iCs/>
        </w:rPr>
        <w:t>*</w:t>
      </w:r>
      <w:r w:rsidR="00466DB9" w:rsidRPr="0068395E">
        <w:rPr>
          <w:rFonts w:asciiTheme="majorHAnsi" w:hAnsiTheme="majorHAnsi" w:cstheme="majorHAnsi"/>
          <w:i/>
          <w:iCs/>
        </w:rPr>
        <w:t>Esta condición especial se acredita ante la Central de Contratación que dispondrá de toda la documentación necesaria</w:t>
      </w:r>
      <w:r w:rsidR="00E60B6A" w:rsidRPr="0068395E">
        <w:rPr>
          <w:rFonts w:asciiTheme="majorHAnsi" w:hAnsiTheme="majorHAnsi" w:cstheme="majorHAnsi"/>
          <w:i/>
          <w:iCs/>
        </w:rPr>
        <w:t xml:space="preserve"> y estará disponible para la Entidad contratante si así lo requiere</w:t>
      </w:r>
      <w:r w:rsidR="00E82656" w:rsidRPr="0068395E">
        <w:rPr>
          <w:rFonts w:asciiTheme="majorHAnsi" w:hAnsiTheme="majorHAnsi" w:cstheme="majorHAnsi"/>
          <w:i/>
          <w:iCs/>
        </w:rPr>
        <w:t>.</w:t>
      </w:r>
    </w:p>
    <w:bookmarkEnd w:id="4"/>
    <w:p w14:paraId="49EBA092" w14:textId="77777777" w:rsidR="005376FB" w:rsidRPr="00466DB9" w:rsidRDefault="005376FB" w:rsidP="00466DB9">
      <w:pPr>
        <w:spacing w:after="0" w:line="320" w:lineRule="atLeast"/>
        <w:jc w:val="both"/>
        <w:rPr>
          <w:rFonts w:asciiTheme="majorHAnsi" w:hAnsiTheme="majorHAnsi" w:cstheme="majorHAnsi"/>
          <w:b/>
          <w:color w:val="FF0000"/>
        </w:rPr>
      </w:pPr>
    </w:p>
    <w:p w14:paraId="32EAF282" w14:textId="790115C8" w:rsidR="007D4F2C" w:rsidRPr="00016D4A" w:rsidRDefault="007D4F2C" w:rsidP="007D4F2C">
      <w:pPr>
        <w:pStyle w:val="Prrafodelista"/>
        <w:numPr>
          <w:ilvl w:val="0"/>
          <w:numId w:val="14"/>
        </w:numPr>
        <w:spacing w:after="0" w:line="320" w:lineRule="atLeast"/>
        <w:jc w:val="both"/>
        <w:rPr>
          <w:rFonts w:asciiTheme="majorHAnsi" w:hAnsiTheme="majorHAnsi" w:cstheme="majorHAnsi"/>
          <w:b/>
        </w:rPr>
      </w:pPr>
      <w:r w:rsidRPr="00016D4A">
        <w:rPr>
          <w:rFonts w:asciiTheme="majorHAnsi" w:hAnsiTheme="majorHAnsi" w:cstheme="majorHAnsi"/>
          <w:b/>
          <w:bCs/>
        </w:rPr>
        <w:t>Responsable del contrato</w:t>
      </w:r>
      <w:r w:rsidRPr="00016D4A">
        <w:rPr>
          <w:rFonts w:asciiTheme="majorHAnsi" w:hAnsiTheme="majorHAnsi" w:cstheme="majorHAnsi"/>
        </w:rPr>
        <w:t xml:space="preserve"> (</w:t>
      </w:r>
      <w:r w:rsidR="00016D4A" w:rsidRPr="00016D4A">
        <w:rPr>
          <w:rFonts w:asciiTheme="majorHAnsi" w:hAnsiTheme="majorHAnsi" w:cstheme="majorHAnsi"/>
        </w:rPr>
        <w:t>Cláusula 21.4 del PCA)</w:t>
      </w:r>
    </w:p>
    <w:p w14:paraId="50A184F3" w14:textId="77777777" w:rsidR="00016D4A" w:rsidRPr="00016D4A" w:rsidRDefault="00016D4A" w:rsidP="00016D4A">
      <w:pPr>
        <w:pStyle w:val="Prrafodelista"/>
        <w:spacing w:after="0" w:line="320" w:lineRule="atLeast"/>
        <w:jc w:val="both"/>
        <w:rPr>
          <w:rFonts w:asciiTheme="majorHAnsi" w:hAnsiTheme="majorHAnsi" w:cstheme="majorHAnsi"/>
          <w:b/>
        </w:rPr>
      </w:pPr>
    </w:p>
    <w:p w14:paraId="2699DC65" w14:textId="7CD0C3AF" w:rsidR="007D4F2C" w:rsidRPr="00016D4A" w:rsidRDefault="005376FB" w:rsidP="00016D4A">
      <w:pPr>
        <w:spacing w:after="0" w:line="320" w:lineRule="atLeast"/>
        <w:ind w:firstLine="708"/>
        <w:jc w:val="both"/>
        <w:rPr>
          <w:rFonts w:asciiTheme="majorHAnsi" w:hAnsiTheme="majorHAnsi" w:cstheme="majorHAnsi"/>
        </w:rPr>
      </w:pPr>
      <w:r w:rsidRPr="00016D4A">
        <w:rPr>
          <w:rFonts w:asciiTheme="majorHAnsi" w:hAnsiTheme="majorHAnsi" w:cstheme="majorHAnsi"/>
        </w:rPr>
        <w:t>[</w:t>
      </w:r>
      <w:r w:rsidRPr="00016D4A">
        <w:rPr>
          <w:rFonts w:asciiTheme="majorHAnsi" w:hAnsiTheme="majorHAnsi" w:cstheme="majorHAnsi"/>
          <w:highlight w:val="lightGray"/>
        </w:rPr>
        <w:t>Especificar por la Entidad Local</w:t>
      </w:r>
      <w:r w:rsidRPr="00016D4A">
        <w:rPr>
          <w:rFonts w:asciiTheme="majorHAnsi" w:hAnsiTheme="majorHAnsi" w:cstheme="majorHAnsi"/>
        </w:rPr>
        <w:t>]</w:t>
      </w:r>
      <w:r w:rsidRPr="00016D4A">
        <w:rPr>
          <w:rFonts w:asciiTheme="majorHAnsi" w:hAnsiTheme="majorHAnsi" w:cstheme="majorHAnsi"/>
          <w:i/>
        </w:rPr>
        <w:t>,</w:t>
      </w:r>
    </w:p>
    <w:p w14:paraId="19928229" w14:textId="77777777" w:rsidR="004B7D5E" w:rsidRPr="0078463C" w:rsidRDefault="004B7D5E" w:rsidP="007D4F2C">
      <w:pPr>
        <w:spacing w:after="0" w:line="320" w:lineRule="atLeast"/>
        <w:jc w:val="both"/>
        <w:rPr>
          <w:rFonts w:asciiTheme="majorHAnsi" w:hAnsiTheme="majorHAnsi" w:cstheme="majorHAnsi"/>
        </w:rPr>
      </w:pPr>
    </w:p>
    <w:p w14:paraId="3FE6DCA5" w14:textId="502099C4" w:rsidR="00270ED4" w:rsidRPr="0068395E" w:rsidRDefault="009958CB" w:rsidP="00D43A69">
      <w:pPr>
        <w:numPr>
          <w:ilvl w:val="0"/>
          <w:numId w:val="9"/>
        </w:numPr>
        <w:spacing w:after="0" w:line="320" w:lineRule="atLeast"/>
        <w:contextualSpacing/>
        <w:jc w:val="both"/>
        <w:rPr>
          <w:rFonts w:asciiTheme="majorHAnsi" w:hAnsiTheme="majorHAnsi" w:cstheme="majorHAnsi"/>
        </w:rPr>
      </w:pPr>
      <w:r w:rsidRPr="0068395E">
        <w:rPr>
          <w:rFonts w:asciiTheme="majorHAnsi" w:hAnsiTheme="majorHAnsi" w:cstheme="majorHAnsi"/>
        </w:rPr>
        <w:t xml:space="preserve">Que la retribución del Contratista será la resultante de la aplicación del porcentaje ofertado sobre: </w:t>
      </w:r>
    </w:p>
    <w:p w14:paraId="47DC6354" w14:textId="77777777" w:rsidR="009958CB" w:rsidRPr="009958CB" w:rsidRDefault="009958CB" w:rsidP="009958CB">
      <w:pPr>
        <w:pStyle w:val="Prrafodelista"/>
        <w:numPr>
          <w:ilvl w:val="0"/>
          <w:numId w:val="24"/>
        </w:numPr>
        <w:spacing w:before="240"/>
        <w:ind w:left="720"/>
        <w:jc w:val="both"/>
        <w:rPr>
          <w:rFonts w:asciiTheme="majorHAnsi" w:hAnsiTheme="majorHAnsi" w:cstheme="majorHAnsi"/>
        </w:rPr>
      </w:pPr>
      <w:r w:rsidRPr="0068395E">
        <w:rPr>
          <w:rFonts w:asciiTheme="majorHAnsi" w:hAnsiTheme="majorHAnsi" w:cstheme="majorHAnsi"/>
        </w:rPr>
        <w:t>Expedientes</w:t>
      </w:r>
      <w:r w:rsidRPr="009958CB">
        <w:rPr>
          <w:rFonts w:asciiTheme="majorHAnsi" w:hAnsiTheme="majorHAnsi" w:cstheme="majorHAnsi"/>
        </w:rPr>
        <w:t xml:space="preserve"> de regularización tributaria no sancionadores: la deuda tributaria efectivamente cobrada como consecuencia directa de los trabajos de regularización tributaria realizados por la empresa adjudicataria, que tengan su origen en la instrucción de los expedientes de comprobación y/o inspección que se realice durante la vigencia del contrato basado.</w:t>
      </w:r>
    </w:p>
    <w:p w14:paraId="6CDB66E7" w14:textId="77777777" w:rsidR="009958CB" w:rsidRPr="009958CB" w:rsidRDefault="009958CB" w:rsidP="009958CB">
      <w:pPr>
        <w:pStyle w:val="Prrafodelista"/>
        <w:spacing w:before="240"/>
        <w:jc w:val="both"/>
        <w:rPr>
          <w:rFonts w:asciiTheme="majorHAnsi" w:hAnsiTheme="majorHAnsi" w:cstheme="majorHAnsi"/>
        </w:rPr>
      </w:pPr>
    </w:p>
    <w:p w14:paraId="3807A082" w14:textId="77777777" w:rsidR="009958CB" w:rsidRPr="009958CB" w:rsidRDefault="009958CB" w:rsidP="009958CB">
      <w:pPr>
        <w:pStyle w:val="Prrafodelista"/>
        <w:numPr>
          <w:ilvl w:val="0"/>
          <w:numId w:val="24"/>
        </w:numPr>
        <w:spacing w:before="240"/>
        <w:ind w:left="720"/>
        <w:jc w:val="both"/>
        <w:rPr>
          <w:rFonts w:asciiTheme="majorHAnsi" w:hAnsiTheme="majorHAnsi" w:cstheme="majorHAnsi"/>
        </w:rPr>
      </w:pPr>
      <w:r w:rsidRPr="009958CB">
        <w:rPr>
          <w:rFonts w:asciiTheme="majorHAnsi" w:hAnsiTheme="majorHAnsi" w:cstheme="majorHAnsi"/>
        </w:rPr>
        <w:t xml:space="preserve">Expedientes sancionadores tributarios: sobre las cantidades efectivamente cobradas como consecuencia directa de los trabajos de asesoramiento en la instrucción y tramitación de procedimientos sancionadores derivados de infracciones tributarias, cuya gestión le haya sido encomendada a la empresa por cada Entidad contratante. </w:t>
      </w:r>
    </w:p>
    <w:p w14:paraId="3F6C7729" w14:textId="4B00BC16" w:rsidR="009958CB" w:rsidRPr="009958CB" w:rsidRDefault="009958CB" w:rsidP="009958CB">
      <w:pPr>
        <w:keepNext/>
        <w:spacing w:line="320" w:lineRule="exact"/>
        <w:ind w:left="708" w:firstLine="12"/>
        <w:jc w:val="both"/>
        <w:rPr>
          <w:rFonts w:asciiTheme="majorHAnsi" w:hAnsiTheme="majorHAnsi" w:cstheme="majorHAnsi"/>
        </w:rPr>
      </w:pPr>
      <w:r w:rsidRPr="009958CB">
        <w:rPr>
          <w:rFonts w:asciiTheme="majorHAnsi" w:hAnsiTheme="majorHAnsi" w:cstheme="majorHAnsi"/>
        </w:rPr>
        <w:lastRenderedPageBreak/>
        <w:t xml:space="preserve">Por tanto, se trata de un servicio sujeto a éxito, que devengará el derecho de cobro por parte de las adjudicatarias cuando se produzca el cobro efectivo derivado del procedimiento de inspección o sancionador previamente realizado. </w:t>
      </w:r>
    </w:p>
    <w:p w14:paraId="6CD5E6CF" w14:textId="0D57E175" w:rsidR="009958CB" w:rsidRPr="009958CB" w:rsidRDefault="009958CB" w:rsidP="009958CB">
      <w:pPr>
        <w:ind w:left="708" w:firstLine="12"/>
        <w:jc w:val="both"/>
        <w:rPr>
          <w:rFonts w:asciiTheme="majorHAnsi" w:hAnsiTheme="majorHAnsi" w:cstheme="majorHAnsi"/>
        </w:rPr>
      </w:pPr>
      <w:r w:rsidRPr="009958CB">
        <w:rPr>
          <w:rFonts w:asciiTheme="majorHAnsi" w:hAnsiTheme="majorHAnsi" w:cstheme="majorHAnsi"/>
        </w:rPr>
        <w:t>Al importe resultante habrá que añadirle el correspondiente Impuesto Sobre el Valor Añadido (IVA).</w:t>
      </w:r>
    </w:p>
    <w:p w14:paraId="65048F34" w14:textId="77777777" w:rsidR="009958CB" w:rsidRDefault="009958CB" w:rsidP="009958CB">
      <w:pPr>
        <w:ind w:left="708" w:firstLine="12"/>
        <w:jc w:val="both"/>
        <w:rPr>
          <w:rFonts w:asciiTheme="majorHAnsi" w:hAnsiTheme="majorHAnsi" w:cstheme="majorHAnsi"/>
        </w:rPr>
      </w:pPr>
      <w:r w:rsidRPr="009958CB">
        <w:rPr>
          <w:rFonts w:asciiTheme="majorHAnsi" w:hAnsiTheme="majorHAnsi" w:cstheme="majorHAnsi"/>
        </w:rPr>
        <w:t>En los expedientes de inspección tributaria en los que preste asistencia la empresa adjudicataria e impliquen trabajos de campo específicos o de atención al contribuyente (como ocurre con la Tasa de vados, el Impuesto de Actividades económicas, entre otros), al porcentaje de retribución ofertado se le añadirán 3 puntos porcentuales.</w:t>
      </w:r>
    </w:p>
    <w:p w14:paraId="759C1E2D" w14:textId="77777777" w:rsidR="009958CB" w:rsidRPr="009958CB" w:rsidRDefault="009958CB" w:rsidP="009958CB">
      <w:pPr>
        <w:spacing w:after="0" w:line="320" w:lineRule="atLeast"/>
        <w:ind w:left="360" w:firstLine="348"/>
        <w:contextualSpacing/>
        <w:jc w:val="both"/>
        <w:rPr>
          <w:rFonts w:asciiTheme="majorHAnsi" w:hAnsiTheme="majorHAnsi" w:cstheme="majorHAnsi"/>
          <w:highlight w:val="lightGray"/>
        </w:rPr>
      </w:pPr>
      <w:r w:rsidRPr="009958CB">
        <w:rPr>
          <w:rFonts w:asciiTheme="majorHAnsi" w:hAnsiTheme="majorHAnsi" w:cstheme="majorHAnsi"/>
          <w:i/>
          <w:highlight w:val="lightGray"/>
        </w:rPr>
        <w:t>[Se adjunta como Anexo [●] el informe de fiscalización favorable.</w:t>
      </w:r>
      <w:r w:rsidRPr="009958CB">
        <w:rPr>
          <w:rFonts w:asciiTheme="majorHAnsi" w:hAnsiTheme="majorHAnsi" w:cstheme="majorHAnsi"/>
          <w:highlight w:val="lightGray"/>
        </w:rPr>
        <w:t>]</w:t>
      </w:r>
    </w:p>
    <w:p w14:paraId="78E1C8B4" w14:textId="77777777" w:rsidR="00270ED4" w:rsidRPr="0078463C" w:rsidRDefault="00270ED4" w:rsidP="00D43A69">
      <w:pPr>
        <w:spacing w:after="0" w:line="320" w:lineRule="atLeast"/>
        <w:rPr>
          <w:rFonts w:asciiTheme="majorHAnsi" w:hAnsiTheme="majorHAnsi" w:cstheme="majorHAnsi"/>
          <w:b/>
        </w:rPr>
      </w:pPr>
    </w:p>
    <w:p w14:paraId="77B4547E" w14:textId="77777777" w:rsidR="00F42EB7" w:rsidRPr="0078463C" w:rsidRDefault="00F42EB7" w:rsidP="00F42EB7">
      <w:pPr>
        <w:pStyle w:val="Prrafodelista"/>
        <w:numPr>
          <w:ilvl w:val="0"/>
          <w:numId w:val="9"/>
        </w:numPr>
        <w:jc w:val="both"/>
        <w:rPr>
          <w:rFonts w:asciiTheme="majorHAnsi" w:hAnsiTheme="majorHAnsi" w:cstheme="majorHAnsi"/>
        </w:rPr>
      </w:pPr>
      <w:r w:rsidRPr="0078463C">
        <w:rPr>
          <w:rFonts w:asciiTheme="majorHAnsi" w:hAnsiTheme="majorHAnsi" w:cstheme="majorHAnsi"/>
        </w:rPr>
        <w:t xml:space="preserve">Conforme a lo establecido en el artículo 36.3 de la LCSP, el Contrato basado en el Acuerdo Marco se perfecciona con la notificación de su adjudicación al contratista por parte de esta Entidad Local. </w:t>
      </w:r>
    </w:p>
    <w:p w14:paraId="5C1A6287" w14:textId="77777777" w:rsidR="00F42EB7" w:rsidRPr="0078463C" w:rsidRDefault="00F42EB7" w:rsidP="00F42EB7">
      <w:pPr>
        <w:pStyle w:val="Prrafodelista"/>
        <w:ind w:left="360"/>
        <w:jc w:val="both"/>
        <w:rPr>
          <w:rFonts w:asciiTheme="majorHAnsi" w:hAnsiTheme="majorHAnsi" w:cstheme="majorHAnsi"/>
        </w:rPr>
      </w:pPr>
    </w:p>
    <w:p w14:paraId="7B42BF83" w14:textId="77777777" w:rsidR="00F42EB7" w:rsidRPr="0078463C" w:rsidRDefault="00F42EB7" w:rsidP="00F42EB7">
      <w:pPr>
        <w:pStyle w:val="Prrafodelista"/>
        <w:ind w:left="360"/>
        <w:jc w:val="both"/>
        <w:rPr>
          <w:rFonts w:asciiTheme="majorHAnsi" w:hAnsiTheme="majorHAnsi" w:cstheme="majorHAnsi"/>
        </w:rPr>
      </w:pPr>
      <w:r w:rsidRPr="0078463C">
        <w:rPr>
          <w:rFonts w:asciiTheme="majorHAnsi" w:hAnsiTheme="majorHAnsi" w:cstheme="majorHAnsi"/>
        </w:rPr>
        <w:t xml:space="preserve">La comunicación de la adjudicación se realizará mediante la Plataforma tecnológica de la Central de Contratación de la FEMP, sin perjuicio de que se proceda a la notificación y publicación de la adjudicación conforme a lo establecido en la Disposición Adicional Decimoquinta de la LCSP. </w:t>
      </w:r>
    </w:p>
    <w:p w14:paraId="4ABA0910" w14:textId="77777777" w:rsidR="00F42EB7" w:rsidRPr="0078463C" w:rsidRDefault="00F42EB7" w:rsidP="00F42EB7">
      <w:pPr>
        <w:pStyle w:val="Prrafodelista"/>
        <w:ind w:left="360"/>
        <w:jc w:val="both"/>
        <w:rPr>
          <w:rFonts w:asciiTheme="majorHAnsi" w:hAnsiTheme="majorHAnsi" w:cstheme="majorHAnsi"/>
        </w:rPr>
      </w:pPr>
    </w:p>
    <w:p w14:paraId="2E25B598" w14:textId="7ACFD988" w:rsidR="00F42EB7" w:rsidRPr="0078463C" w:rsidRDefault="00F42EB7" w:rsidP="00F42EB7">
      <w:pPr>
        <w:pStyle w:val="Prrafodelista"/>
        <w:spacing w:after="0" w:line="320" w:lineRule="atLeast"/>
        <w:ind w:left="360"/>
        <w:jc w:val="both"/>
        <w:rPr>
          <w:rFonts w:asciiTheme="majorHAnsi" w:hAnsiTheme="majorHAnsi" w:cstheme="majorHAnsi"/>
        </w:rPr>
      </w:pPr>
      <w:r w:rsidRPr="0078463C">
        <w:rPr>
          <w:rFonts w:asciiTheme="majorHAnsi" w:hAnsiTheme="majorHAnsi" w:cstheme="majorHAnsi"/>
        </w:rPr>
        <w:t>La Entidad Local deberá incluir en la Plataforma de la FEMP toda la información referente a la tramitación del Contrato basado.</w:t>
      </w:r>
    </w:p>
    <w:p w14:paraId="34AA27E8" w14:textId="77777777" w:rsidR="00D43A69" w:rsidRPr="0078463C" w:rsidRDefault="00D43A69" w:rsidP="00D43A69">
      <w:pPr>
        <w:spacing w:after="0" w:line="320" w:lineRule="atLeast"/>
        <w:jc w:val="both"/>
        <w:rPr>
          <w:rFonts w:asciiTheme="majorHAnsi" w:hAnsiTheme="majorHAnsi" w:cstheme="majorHAnsi"/>
        </w:rPr>
      </w:pPr>
    </w:p>
    <w:p w14:paraId="0A4F5F8D" w14:textId="77777777" w:rsidR="002053E6" w:rsidRPr="0078463C" w:rsidRDefault="002053E6" w:rsidP="00D43A69">
      <w:pPr>
        <w:spacing w:after="0" w:line="320" w:lineRule="atLeast"/>
        <w:jc w:val="center"/>
        <w:rPr>
          <w:rFonts w:asciiTheme="majorHAnsi" w:hAnsiTheme="majorHAnsi" w:cstheme="majorHAnsi"/>
          <w:b/>
        </w:rPr>
      </w:pPr>
    </w:p>
    <w:p w14:paraId="221152C2" w14:textId="77777777" w:rsidR="002053E6" w:rsidRPr="0078463C" w:rsidRDefault="006C434E" w:rsidP="00D43A69">
      <w:pPr>
        <w:spacing w:after="0" w:line="320" w:lineRule="atLeast"/>
        <w:jc w:val="center"/>
        <w:rPr>
          <w:rFonts w:asciiTheme="majorHAnsi" w:hAnsiTheme="majorHAnsi" w:cstheme="majorHAnsi"/>
          <w:b/>
        </w:rPr>
      </w:pPr>
      <w:r w:rsidRPr="0078463C">
        <w:rPr>
          <w:rFonts w:asciiTheme="majorHAnsi" w:hAnsiTheme="majorHAnsi" w:cstheme="majorHAnsi"/>
          <w:b/>
        </w:rPr>
        <w:t>FUNDAMENTOS JURÍ</w:t>
      </w:r>
      <w:r w:rsidR="002053E6" w:rsidRPr="0078463C">
        <w:rPr>
          <w:rFonts w:asciiTheme="majorHAnsi" w:hAnsiTheme="majorHAnsi" w:cstheme="majorHAnsi"/>
          <w:b/>
        </w:rPr>
        <w:t>DICOS</w:t>
      </w:r>
    </w:p>
    <w:p w14:paraId="0DA09F3B" w14:textId="77777777" w:rsidR="00875336" w:rsidRPr="0078463C" w:rsidRDefault="00875336" w:rsidP="00D43A69">
      <w:pPr>
        <w:spacing w:after="0" w:line="320" w:lineRule="atLeast"/>
        <w:rPr>
          <w:rFonts w:asciiTheme="majorHAnsi" w:hAnsiTheme="majorHAnsi" w:cstheme="majorHAnsi"/>
          <w:b/>
        </w:rPr>
      </w:pPr>
    </w:p>
    <w:p w14:paraId="66095EF4" w14:textId="7800CE34" w:rsidR="00977CD2" w:rsidRPr="0078463C" w:rsidRDefault="002053E6" w:rsidP="00D43A69">
      <w:pPr>
        <w:spacing w:after="0" w:line="320" w:lineRule="atLeast"/>
        <w:jc w:val="both"/>
        <w:rPr>
          <w:rFonts w:asciiTheme="majorHAnsi" w:hAnsiTheme="majorHAnsi" w:cstheme="majorHAnsi"/>
          <w:b/>
        </w:rPr>
      </w:pPr>
      <w:r w:rsidRPr="0078463C">
        <w:rPr>
          <w:rFonts w:asciiTheme="majorHAnsi" w:hAnsiTheme="majorHAnsi" w:cstheme="majorHAnsi"/>
          <w:b/>
        </w:rPr>
        <w:t>PRIMERO.</w:t>
      </w:r>
      <w:r w:rsidR="00875336" w:rsidRPr="0078463C">
        <w:rPr>
          <w:rFonts w:asciiTheme="majorHAnsi" w:hAnsiTheme="majorHAnsi" w:cstheme="majorHAnsi"/>
        </w:rPr>
        <w:t xml:space="preserve">- </w:t>
      </w:r>
      <w:r w:rsidRPr="0078463C">
        <w:rPr>
          <w:rFonts w:asciiTheme="majorHAnsi" w:hAnsiTheme="majorHAnsi" w:cstheme="majorHAnsi"/>
        </w:rPr>
        <w:t xml:space="preserve">El procedimiento de adjudicación </w:t>
      </w:r>
      <w:r w:rsidR="00875336" w:rsidRPr="0078463C">
        <w:rPr>
          <w:rFonts w:asciiTheme="majorHAnsi" w:hAnsiTheme="majorHAnsi" w:cstheme="majorHAnsi"/>
        </w:rPr>
        <w:t xml:space="preserve">se ha </w:t>
      </w:r>
      <w:r w:rsidR="000F1055" w:rsidRPr="0078463C">
        <w:rPr>
          <w:rFonts w:asciiTheme="majorHAnsi" w:hAnsiTheme="majorHAnsi" w:cstheme="majorHAnsi"/>
        </w:rPr>
        <w:t>realizado conforme a</w:t>
      </w:r>
      <w:r w:rsidR="00875336" w:rsidRPr="0078463C">
        <w:rPr>
          <w:rFonts w:asciiTheme="majorHAnsi" w:hAnsiTheme="majorHAnsi" w:cstheme="majorHAnsi"/>
        </w:rPr>
        <w:t xml:space="preserve"> lo dispuesto en el </w:t>
      </w:r>
      <w:r w:rsidR="00517BCD" w:rsidRPr="0078463C">
        <w:rPr>
          <w:rFonts w:asciiTheme="majorHAnsi" w:hAnsiTheme="majorHAnsi" w:cstheme="majorHAnsi"/>
        </w:rPr>
        <w:t xml:space="preserve">Acuerdo Marco para la </w:t>
      </w:r>
      <w:r w:rsidR="00517BCD" w:rsidRPr="001076AA">
        <w:rPr>
          <w:rFonts w:asciiTheme="majorHAnsi" w:hAnsiTheme="majorHAnsi" w:cstheme="majorHAnsi"/>
        </w:rPr>
        <w:t xml:space="preserve">prestación del servicio de asistencia </w:t>
      </w:r>
      <w:r w:rsidR="001076AA" w:rsidRPr="001076AA">
        <w:rPr>
          <w:rFonts w:asciiTheme="majorHAnsi" w:hAnsiTheme="majorHAnsi" w:cstheme="majorHAnsi"/>
        </w:rPr>
        <w:t>técnica para la inspección tributaria y procedimiento sancionador por infracciones tributarias a través de la Central de Contratación de la FEMP</w:t>
      </w:r>
      <w:r w:rsidR="00880F0E" w:rsidRPr="001076AA">
        <w:rPr>
          <w:rFonts w:asciiTheme="majorHAnsi" w:hAnsiTheme="majorHAnsi" w:cstheme="majorHAnsi"/>
        </w:rPr>
        <w:t xml:space="preserve">, </w:t>
      </w:r>
      <w:r w:rsidR="0072681F" w:rsidRPr="001076AA">
        <w:rPr>
          <w:rFonts w:asciiTheme="majorHAnsi" w:hAnsiTheme="majorHAnsi" w:cstheme="majorHAnsi"/>
        </w:rPr>
        <w:t>y</w:t>
      </w:r>
      <w:r w:rsidR="00875336" w:rsidRPr="001076AA">
        <w:rPr>
          <w:rFonts w:asciiTheme="majorHAnsi" w:hAnsiTheme="majorHAnsi" w:cstheme="majorHAnsi"/>
        </w:rPr>
        <w:t xml:space="preserve"> los </w:t>
      </w:r>
      <w:r w:rsidR="00C63F13" w:rsidRPr="001076AA">
        <w:rPr>
          <w:rFonts w:asciiTheme="majorHAnsi" w:hAnsiTheme="majorHAnsi" w:cstheme="majorHAnsi"/>
        </w:rPr>
        <w:t>PCA y PPT</w:t>
      </w:r>
      <w:r w:rsidR="00875336" w:rsidRPr="001076AA">
        <w:rPr>
          <w:rFonts w:asciiTheme="majorHAnsi" w:hAnsiTheme="majorHAnsi" w:cstheme="majorHAnsi"/>
        </w:rPr>
        <w:t xml:space="preserve"> </w:t>
      </w:r>
      <w:r w:rsidR="00132802" w:rsidRPr="001076AA">
        <w:rPr>
          <w:rFonts w:asciiTheme="majorHAnsi" w:hAnsiTheme="majorHAnsi" w:cstheme="majorHAnsi"/>
        </w:rPr>
        <w:t xml:space="preserve">que rigieron </w:t>
      </w:r>
      <w:r w:rsidR="00132802" w:rsidRPr="0078463C">
        <w:rPr>
          <w:rFonts w:asciiTheme="majorHAnsi" w:hAnsiTheme="majorHAnsi" w:cstheme="majorHAnsi"/>
        </w:rPr>
        <w:t>su</w:t>
      </w:r>
      <w:r w:rsidR="00875336" w:rsidRPr="0078463C">
        <w:rPr>
          <w:rFonts w:asciiTheme="majorHAnsi" w:hAnsiTheme="majorHAnsi" w:cstheme="majorHAnsi"/>
        </w:rPr>
        <w:t xml:space="preserve"> licitació</w:t>
      </w:r>
      <w:r w:rsidR="00132802" w:rsidRPr="0078463C">
        <w:rPr>
          <w:rFonts w:asciiTheme="majorHAnsi" w:hAnsiTheme="majorHAnsi" w:cstheme="majorHAnsi"/>
        </w:rPr>
        <w:t>n, tras la adhesión a la Central de</w:t>
      </w:r>
      <w:r w:rsidR="006C434E" w:rsidRPr="0078463C">
        <w:rPr>
          <w:rFonts w:asciiTheme="majorHAnsi" w:hAnsiTheme="majorHAnsi" w:cstheme="majorHAnsi"/>
        </w:rPr>
        <w:t xml:space="preserve"> Contrataci</w:t>
      </w:r>
      <w:r w:rsidR="004A0281" w:rsidRPr="0078463C">
        <w:rPr>
          <w:rFonts w:asciiTheme="majorHAnsi" w:hAnsiTheme="majorHAnsi" w:cstheme="majorHAnsi"/>
        </w:rPr>
        <w:t>ó</w:t>
      </w:r>
      <w:r w:rsidR="006C434E" w:rsidRPr="0078463C">
        <w:rPr>
          <w:rFonts w:asciiTheme="majorHAnsi" w:hAnsiTheme="majorHAnsi" w:cstheme="majorHAnsi"/>
        </w:rPr>
        <w:t xml:space="preserve">n por parte de </w:t>
      </w:r>
      <w:r w:rsidR="00132802" w:rsidRPr="0078463C">
        <w:rPr>
          <w:rFonts w:asciiTheme="majorHAnsi" w:hAnsiTheme="majorHAnsi" w:cstheme="majorHAnsi"/>
        </w:rPr>
        <w:t xml:space="preserve">la </w:t>
      </w:r>
      <w:r w:rsidR="00132802" w:rsidRPr="001076AA">
        <w:rPr>
          <w:rFonts w:asciiTheme="majorHAnsi" w:hAnsiTheme="majorHAnsi" w:cstheme="majorHAnsi"/>
          <w:highlight w:val="lightGray"/>
        </w:rPr>
        <w:t>ENTIDAD LOCAL (ESPECIFICAR)</w:t>
      </w:r>
      <w:r w:rsidR="00132802" w:rsidRPr="0078463C">
        <w:rPr>
          <w:rFonts w:asciiTheme="majorHAnsi" w:hAnsiTheme="majorHAnsi" w:cstheme="majorHAnsi"/>
        </w:rPr>
        <w:t xml:space="preserve"> s</w:t>
      </w:r>
      <w:r w:rsidR="006C434E" w:rsidRPr="0078463C">
        <w:rPr>
          <w:rFonts w:asciiTheme="majorHAnsi" w:hAnsiTheme="majorHAnsi" w:cstheme="majorHAnsi"/>
        </w:rPr>
        <w:t xml:space="preserve">egún acuerdo de pleno </w:t>
      </w:r>
      <w:r w:rsidR="005443BE" w:rsidRPr="0078463C">
        <w:rPr>
          <w:rFonts w:asciiTheme="majorHAnsi" w:hAnsiTheme="majorHAnsi" w:cstheme="majorHAnsi"/>
        </w:rPr>
        <w:t>(</w:t>
      </w:r>
      <w:r w:rsidR="005443BE" w:rsidRPr="001076AA">
        <w:rPr>
          <w:rFonts w:asciiTheme="majorHAnsi" w:hAnsiTheme="majorHAnsi" w:cstheme="majorHAnsi"/>
          <w:i/>
          <w:highlight w:val="lightGray"/>
        </w:rPr>
        <w:t>o en su defecto, identificar el órgano</w:t>
      </w:r>
      <w:r w:rsidR="00AB7D80" w:rsidRPr="001076AA">
        <w:rPr>
          <w:rFonts w:asciiTheme="majorHAnsi" w:hAnsiTheme="majorHAnsi" w:cstheme="majorHAnsi"/>
          <w:i/>
          <w:highlight w:val="lightGray"/>
        </w:rPr>
        <w:t xml:space="preserve"> competente</w:t>
      </w:r>
      <w:r w:rsidR="005443BE" w:rsidRPr="001076AA">
        <w:rPr>
          <w:rFonts w:asciiTheme="majorHAnsi" w:hAnsiTheme="majorHAnsi" w:cstheme="majorHAnsi"/>
          <w:highlight w:val="lightGray"/>
        </w:rPr>
        <w:t>)</w:t>
      </w:r>
      <w:r w:rsidR="00AB7D80" w:rsidRPr="001076AA">
        <w:rPr>
          <w:rFonts w:asciiTheme="majorHAnsi" w:hAnsiTheme="majorHAnsi" w:cstheme="majorHAnsi"/>
          <w:highlight w:val="lightGray"/>
        </w:rPr>
        <w:t xml:space="preserve"> </w:t>
      </w:r>
      <w:r w:rsidR="006C434E" w:rsidRPr="001076AA">
        <w:rPr>
          <w:rFonts w:asciiTheme="majorHAnsi" w:hAnsiTheme="majorHAnsi" w:cstheme="majorHAnsi"/>
          <w:highlight w:val="lightGray"/>
        </w:rPr>
        <w:t>de fecha [●].</w:t>
      </w:r>
    </w:p>
    <w:p w14:paraId="31BC9467" w14:textId="77777777" w:rsidR="00C915D9" w:rsidRDefault="00C915D9" w:rsidP="00F5621A">
      <w:pPr>
        <w:spacing w:after="0" w:line="320" w:lineRule="atLeast"/>
        <w:jc w:val="both"/>
        <w:rPr>
          <w:rFonts w:asciiTheme="majorHAnsi" w:hAnsiTheme="majorHAnsi" w:cstheme="majorHAnsi"/>
          <w:b/>
        </w:rPr>
      </w:pPr>
    </w:p>
    <w:p w14:paraId="7B947723" w14:textId="70F88F20" w:rsidR="00A162E3" w:rsidRPr="0078463C" w:rsidRDefault="00875336" w:rsidP="00F5621A">
      <w:pPr>
        <w:spacing w:after="0" w:line="320" w:lineRule="atLeast"/>
        <w:jc w:val="both"/>
        <w:rPr>
          <w:rFonts w:asciiTheme="majorHAnsi" w:hAnsiTheme="majorHAnsi" w:cstheme="majorHAnsi"/>
          <w:color w:val="000000"/>
          <w:szCs w:val="24"/>
        </w:rPr>
      </w:pPr>
      <w:r w:rsidRPr="0078463C">
        <w:rPr>
          <w:rFonts w:asciiTheme="majorHAnsi" w:hAnsiTheme="majorHAnsi" w:cstheme="majorHAnsi"/>
          <w:b/>
        </w:rPr>
        <w:t>SEGUNDO</w:t>
      </w:r>
      <w:bookmarkStart w:id="6" w:name="_Hlk80256362"/>
      <w:r w:rsidRPr="0078463C">
        <w:rPr>
          <w:rFonts w:asciiTheme="majorHAnsi" w:hAnsiTheme="majorHAnsi" w:cstheme="majorHAnsi"/>
          <w:b/>
        </w:rPr>
        <w:t>.-</w:t>
      </w:r>
      <w:r w:rsidR="00D43A69" w:rsidRPr="0078463C">
        <w:rPr>
          <w:rFonts w:asciiTheme="majorHAnsi" w:hAnsiTheme="majorHAnsi" w:cstheme="majorHAnsi"/>
        </w:rPr>
        <w:t xml:space="preserve"> </w:t>
      </w:r>
      <w:r w:rsidR="00A162E3" w:rsidRPr="0078463C">
        <w:rPr>
          <w:rFonts w:asciiTheme="majorHAnsi" w:hAnsiTheme="majorHAnsi" w:cstheme="majorHAnsi"/>
        </w:rPr>
        <w:t xml:space="preserve">La ejecución y resolución de este Contrato se supedita a lo dispuesto en el Acuerdo Marco </w:t>
      </w:r>
      <w:r w:rsidR="00F5621A" w:rsidRPr="0078463C">
        <w:rPr>
          <w:rFonts w:asciiTheme="majorHAnsi" w:hAnsiTheme="majorHAnsi" w:cstheme="majorHAnsi"/>
        </w:rPr>
        <w:t xml:space="preserve">para la </w:t>
      </w:r>
      <w:r w:rsidR="00C915D9" w:rsidRPr="001076AA">
        <w:rPr>
          <w:rFonts w:asciiTheme="majorHAnsi" w:hAnsiTheme="majorHAnsi" w:cstheme="majorHAnsi"/>
        </w:rPr>
        <w:t xml:space="preserve">prestación del servicio de asistencia técnica para la inspección tributaria y procedimiento sancionador por infracciones </w:t>
      </w:r>
      <w:r w:rsidR="00C915D9" w:rsidRPr="00C915D9">
        <w:rPr>
          <w:rFonts w:asciiTheme="majorHAnsi" w:hAnsiTheme="majorHAnsi" w:cstheme="majorHAnsi"/>
        </w:rPr>
        <w:t>tributarias a través de la Central de Contratación</w:t>
      </w:r>
      <w:r w:rsidR="00F5621A" w:rsidRPr="00C915D9">
        <w:rPr>
          <w:rFonts w:asciiTheme="majorHAnsi" w:hAnsiTheme="majorHAnsi" w:cstheme="majorHAnsi"/>
        </w:rPr>
        <w:t>, en los PCA y PPT que rigieron la licitación de este Acuerdo Marco</w:t>
      </w:r>
      <w:r w:rsidR="00A162E3" w:rsidRPr="00C915D9">
        <w:rPr>
          <w:rFonts w:asciiTheme="majorHAnsi" w:hAnsiTheme="majorHAnsi" w:cstheme="majorHAnsi"/>
        </w:rPr>
        <w:t xml:space="preserve">, así como en la LCSP, </w:t>
      </w:r>
      <w:r w:rsidR="00A162E3" w:rsidRPr="00C915D9">
        <w:rPr>
          <w:rFonts w:asciiTheme="majorHAnsi" w:hAnsiTheme="majorHAnsi" w:cstheme="majorHAnsi"/>
          <w:szCs w:val="24"/>
        </w:rPr>
        <w:t xml:space="preserve">en el Real Decreto 817/2009, de 8 de mayo, por el que se desarrolla parcialmente la Ley 30/2007, de 30 de octubre, de Contratos del Sector Público y, en cuanto no se oponga, en el Real Decreto 1098/2001, de 12 de octubre, por el que se aprueba el Reglamento </w:t>
      </w:r>
      <w:r w:rsidR="00A162E3" w:rsidRPr="0078463C">
        <w:rPr>
          <w:rFonts w:asciiTheme="majorHAnsi" w:hAnsiTheme="majorHAnsi" w:cstheme="majorHAnsi"/>
          <w:color w:val="000000"/>
          <w:szCs w:val="24"/>
        </w:rPr>
        <w:t>General de la Ley de Contratos de las Administraciones Públicas (“</w:t>
      </w:r>
      <w:r w:rsidR="00A162E3" w:rsidRPr="0078463C">
        <w:rPr>
          <w:rFonts w:asciiTheme="majorHAnsi" w:hAnsiTheme="majorHAnsi" w:cstheme="majorHAnsi"/>
          <w:b/>
          <w:color w:val="000000"/>
          <w:szCs w:val="24"/>
        </w:rPr>
        <w:t>RGLCAP</w:t>
      </w:r>
      <w:r w:rsidR="00A162E3" w:rsidRPr="0078463C">
        <w:rPr>
          <w:rFonts w:asciiTheme="majorHAnsi" w:hAnsiTheme="majorHAnsi" w:cstheme="majorHAnsi"/>
          <w:color w:val="000000"/>
          <w:szCs w:val="24"/>
        </w:rPr>
        <w:t>”).</w:t>
      </w:r>
    </w:p>
    <w:p w14:paraId="0C54DA7D" w14:textId="77777777" w:rsidR="00F5621A" w:rsidRPr="0078463C" w:rsidRDefault="00F5621A" w:rsidP="00F5621A">
      <w:pPr>
        <w:spacing w:after="0" w:line="320" w:lineRule="atLeast"/>
        <w:jc w:val="both"/>
        <w:rPr>
          <w:rFonts w:asciiTheme="majorHAnsi" w:hAnsiTheme="majorHAnsi" w:cstheme="majorHAnsi"/>
          <w:color w:val="FF0000"/>
          <w:szCs w:val="24"/>
        </w:rPr>
      </w:pPr>
    </w:p>
    <w:p w14:paraId="210C9A9F" w14:textId="21F32C19" w:rsidR="00A162E3" w:rsidRPr="00E82656" w:rsidRDefault="00A162E3" w:rsidP="00E82656">
      <w:pPr>
        <w:spacing w:line="320" w:lineRule="exact"/>
        <w:jc w:val="both"/>
        <w:rPr>
          <w:rFonts w:asciiTheme="majorHAnsi" w:hAnsiTheme="majorHAnsi" w:cstheme="majorHAnsi"/>
          <w:szCs w:val="24"/>
        </w:rPr>
      </w:pPr>
      <w:r w:rsidRPr="0078463C">
        <w:rPr>
          <w:rFonts w:asciiTheme="majorHAnsi" w:hAnsiTheme="majorHAnsi" w:cstheme="majorHAnsi"/>
          <w:szCs w:val="24"/>
        </w:rPr>
        <w:t>Supletoriamente se aplicará la Ley 39/2015, de 1 de octubre, del Procedimiento Administrativo Común de las Administraciones Públicas (“</w:t>
      </w:r>
      <w:r w:rsidRPr="0078463C">
        <w:rPr>
          <w:rFonts w:asciiTheme="majorHAnsi" w:hAnsiTheme="majorHAnsi" w:cstheme="majorHAnsi"/>
          <w:b/>
          <w:szCs w:val="24"/>
        </w:rPr>
        <w:t>LPACAP</w:t>
      </w:r>
      <w:r w:rsidRPr="0078463C">
        <w:rPr>
          <w:rFonts w:asciiTheme="majorHAnsi" w:hAnsiTheme="majorHAnsi" w:cstheme="majorHAnsi"/>
          <w:szCs w:val="24"/>
        </w:rPr>
        <w:t xml:space="preserve">”) y la Ley 40/2015, de 1 de octubre, de </w:t>
      </w:r>
      <w:r w:rsidRPr="0078463C">
        <w:rPr>
          <w:rFonts w:asciiTheme="majorHAnsi" w:hAnsiTheme="majorHAnsi" w:cstheme="majorHAnsi"/>
          <w:szCs w:val="24"/>
        </w:rPr>
        <w:lastRenderedPageBreak/>
        <w:t>Régimen Jurídico del Sector Público (“</w:t>
      </w:r>
      <w:r w:rsidRPr="0078463C">
        <w:rPr>
          <w:rFonts w:asciiTheme="majorHAnsi" w:hAnsiTheme="majorHAnsi" w:cstheme="majorHAnsi"/>
          <w:b/>
          <w:szCs w:val="24"/>
        </w:rPr>
        <w:t>LRJSP</w:t>
      </w:r>
      <w:r w:rsidRPr="0078463C">
        <w:rPr>
          <w:rFonts w:asciiTheme="majorHAnsi" w:hAnsiTheme="majorHAnsi" w:cstheme="majorHAnsi"/>
          <w:szCs w:val="24"/>
        </w:rPr>
        <w:t xml:space="preserve">”) y demás normas de derecho administrativo y, en su defecto, las normas de derecho privado. </w:t>
      </w:r>
      <w:bookmarkEnd w:id="6"/>
    </w:p>
    <w:p w14:paraId="62B1D87F" w14:textId="77777777" w:rsidR="006104F5" w:rsidRPr="0078463C" w:rsidRDefault="006104F5" w:rsidP="0091295F">
      <w:pPr>
        <w:pStyle w:val="Prrafodelista"/>
        <w:spacing w:after="0" w:line="320" w:lineRule="atLeast"/>
        <w:ind w:left="0"/>
        <w:jc w:val="both"/>
        <w:rPr>
          <w:rFonts w:asciiTheme="majorHAnsi" w:hAnsiTheme="majorHAnsi" w:cstheme="majorHAnsi"/>
          <w:color w:val="000000"/>
          <w:szCs w:val="24"/>
        </w:rPr>
      </w:pPr>
      <w:r w:rsidRPr="0078463C">
        <w:rPr>
          <w:rFonts w:asciiTheme="majorHAnsi" w:hAnsiTheme="majorHAnsi" w:cstheme="majorHAnsi"/>
          <w:color w:val="000000"/>
          <w:szCs w:val="24"/>
        </w:rPr>
        <w:t xml:space="preserve">Asimismo, será de aplicación al presente Acuerdo </w:t>
      </w:r>
      <w:r w:rsidR="00D15D59" w:rsidRPr="0078463C">
        <w:rPr>
          <w:rFonts w:asciiTheme="majorHAnsi" w:hAnsiTheme="majorHAnsi" w:cstheme="majorHAnsi"/>
          <w:color w:val="000000"/>
          <w:szCs w:val="24"/>
        </w:rPr>
        <w:t xml:space="preserve">Marco </w:t>
      </w:r>
      <w:r w:rsidRPr="0078463C">
        <w:rPr>
          <w:rFonts w:asciiTheme="majorHAnsi" w:hAnsiTheme="majorHAnsi" w:cstheme="majorHAnsi"/>
          <w:color w:val="000000"/>
          <w:szCs w:val="24"/>
        </w:rPr>
        <w:t>y a los Contratos basados en el mismo la normativa sectorial vigente en cada momento, en especial:</w:t>
      </w:r>
    </w:p>
    <w:p w14:paraId="09D4D64C" w14:textId="77777777" w:rsidR="00F5621A" w:rsidRPr="003E6C0B" w:rsidRDefault="00F5621A" w:rsidP="00F5621A">
      <w:pPr>
        <w:pStyle w:val="Prrafodelista"/>
        <w:spacing w:after="0" w:line="320" w:lineRule="atLeast"/>
        <w:jc w:val="both"/>
        <w:rPr>
          <w:rFonts w:asciiTheme="majorHAnsi" w:hAnsiTheme="majorHAnsi" w:cstheme="majorHAnsi"/>
          <w:szCs w:val="24"/>
        </w:rPr>
      </w:pPr>
    </w:p>
    <w:p w14:paraId="6559B750" w14:textId="1101B6F7" w:rsidR="00F5621A" w:rsidRPr="003E6C0B" w:rsidRDefault="00F5621A" w:rsidP="00066931">
      <w:pPr>
        <w:pStyle w:val="Prrafodelista"/>
        <w:numPr>
          <w:ilvl w:val="0"/>
          <w:numId w:val="17"/>
        </w:numPr>
        <w:spacing w:after="0" w:line="240" w:lineRule="auto"/>
        <w:jc w:val="both"/>
        <w:rPr>
          <w:rFonts w:asciiTheme="majorHAnsi" w:hAnsiTheme="majorHAnsi" w:cstheme="majorHAnsi"/>
          <w:szCs w:val="24"/>
        </w:rPr>
      </w:pPr>
      <w:bookmarkStart w:id="7" w:name="_Hlk80256374"/>
      <w:r w:rsidRPr="003E6C0B">
        <w:rPr>
          <w:rFonts w:asciiTheme="majorHAnsi" w:hAnsiTheme="majorHAnsi" w:cstheme="majorHAnsi"/>
          <w:szCs w:val="24"/>
        </w:rPr>
        <w:t>Ley 58/2003, de 17 de diciembre, General Tributaria.</w:t>
      </w:r>
    </w:p>
    <w:p w14:paraId="7D4DF8F3" w14:textId="77777777"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Real Decreto 1065/2007, de julio, por el que se aprueba el Reglamento General de las actuaciones y los procedimientos de gestión e inspección tributaria y de desarrollo de las normas comunes de los procedimientos de aplicación de los tributos.</w:t>
      </w:r>
    </w:p>
    <w:p w14:paraId="33547DAF" w14:textId="77777777"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Real Decreto 2063/2004, de 15 de octubre, por el que se aprueba el Reglamento general del régimen sancionador tributario.</w:t>
      </w:r>
    </w:p>
    <w:p w14:paraId="4B6682B5" w14:textId="77777777"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Real Decreto 939/2005, de 29 de julio, por el que se aprueba el Reglamento General de Recaudación.</w:t>
      </w:r>
    </w:p>
    <w:p w14:paraId="36B13551" w14:textId="77777777"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RDL 2/2004, de 5 de marzo, por el que se aprueba el texto refundido de la Ley Reguladora de las Haciendas Locales.</w:t>
      </w:r>
    </w:p>
    <w:p w14:paraId="47573CEA" w14:textId="22375718"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 xml:space="preserve">Normativa estatal o autonómica y las ordenanzas municipales correspondientes (Ordenanzas </w:t>
      </w:r>
      <w:r w:rsidR="00277F63" w:rsidRPr="003E6C0B">
        <w:rPr>
          <w:rFonts w:asciiTheme="majorHAnsi" w:hAnsiTheme="majorHAnsi" w:cstheme="majorHAnsi"/>
          <w:szCs w:val="24"/>
        </w:rPr>
        <w:t>fiscales generales</w:t>
      </w:r>
      <w:r w:rsidRPr="003E6C0B">
        <w:rPr>
          <w:rFonts w:asciiTheme="majorHAnsi" w:hAnsiTheme="majorHAnsi" w:cstheme="majorHAnsi"/>
          <w:szCs w:val="24"/>
        </w:rPr>
        <w:t xml:space="preserve"> y Ordenanzas </w:t>
      </w:r>
      <w:r w:rsidR="00277F63" w:rsidRPr="003E6C0B">
        <w:rPr>
          <w:rFonts w:asciiTheme="majorHAnsi" w:hAnsiTheme="majorHAnsi" w:cstheme="majorHAnsi"/>
          <w:szCs w:val="24"/>
        </w:rPr>
        <w:t>f</w:t>
      </w:r>
      <w:r w:rsidRPr="003E6C0B">
        <w:rPr>
          <w:rFonts w:asciiTheme="majorHAnsi" w:hAnsiTheme="majorHAnsi" w:cstheme="majorHAnsi"/>
          <w:szCs w:val="24"/>
        </w:rPr>
        <w:t>iscales especiales desarrolladas por la EELL).</w:t>
      </w:r>
    </w:p>
    <w:p w14:paraId="78C8CAB3" w14:textId="77777777" w:rsidR="00066931" w:rsidRPr="003E6C0B" w:rsidRDefault="00066931" w:rsidP="00066931">
      <w:pPr>
        <w:pStyle w:val="Prrafodelista"/>
        <w:numPr>
          <w:ilvl w:val="0"/>
          <w:numId w:val="17"/>
        </w:numPr>
        <w:spacing w:after="0" w:line="240" w:lineRule="auto"/>
        <w:jc w:val="both"/>
        <w:rPr>
          <w:rFonts w:asciiTheme="majorHAnsi" w:hAnsiTheme="majorHAnsi" w:cstheme="majorHAnsi"/>
          <w:szCs w:val="24"/>
        </w:rPr>
      </w:pPr>
      <w:r w:rsidRPr="003E6C0B">
        <w:rPr>
          <w:rFonts w:asciiTheme="majorHAnsi" w:hAnsiTheme="majorHAnsi" w:cstheme="majorHAnsi"/>
          <w:szCs w:val="24"/>
        </w:rPr>
        <w:t>Ley 7/1985, de 2 de abril, Reguladora de las Bases del Régimen Local y la normativa que la desarrolla.</w:t>
      </w:r>
    </w:p>
    <w:p w14:paraId="6A0E741E" w14:textId="6861C793" w:rsidR="00F5621A" w:rsidRPr="003E6C0B" w:rsidRDefault="00F5621A" w:rsidP="00066931">
      <w:pPr>
        <w:pStyle w:val="Prrafodelista"/>
        <w:numPr>
          <w:ilvl w:val="1"/>
          <w:numId w:val="17"/>
        </w:numPr>
        <w:spacing w:after="0" w:line="240" w:lineRule="auto"/>
        <w:ind w:left="709"/>
        <w:jc w:val="both"/>
        <w:rPr>
          <w:rFonts w:asciiTheme="majorHAnsi" w:hAnsiTheme="majorHAnsi" w:cstheme="majorHAnsi"/>
          <w:szCs w:val="24"/>
        </w:rPr>
      </w:pPr>
      <w:r w:rsidRPr="003E6C0B">
        <w:rPr>
          <w:rFonts w:asciiTheme="majorHAnsi" w:hAnsiTheme="majorHAnsi" w:cstheme="majorHAnsi"/>
          <w:szCs w:val="24"/>
        </w:rPr>
        <w:t>Cualquier otra disposición que afecte, modifique, desarrolle, derogue o sustituya a dichas normas.</w:t>
      </w:r>
    </w:p>
    <w:p w14:paraId="21C8508F" w14:textId="0A3250CF" w:rsidR="006104F5" w:rsidRPr="003E6C0B" w:rsidRDefault="00F5621A" w:rsidP="00066931">
      <w:pPr>
        <w:pStyle w:val="Prrafodelista"/>
        <w:numPr>
          <w:ilvl w:val="1"/>
          <w:numId w:val="17"/>
        </w:numPr>
        <w:spacing w:after="0" w:line="240" w:lineRule="auto"/>
        <w:ind w:left="709"/>
        <w:jc w:val="both"/>
        <w:rPr>
          <w:rFonts w:asciiTheme="majorHAnsi" w:hAnsiTheme="majorHAnsi" w:cstheme="majorHAnsi"/>
          <w:szCs w:val="24"/>
        </w:rPr>
      </w:pPr>
      <w:r w:rsidRPr="003E6C0B">
        <w:rPr>
          <w:rFonts w:asciiTheme="majorHAnsi" w:hAnsiTheme="majorHAnsi" w:cstheme="majorHAnsi"/>
          <w:szCs w:val="24"/>
        </w:rPr>
        <w:t>Normativa estatal o autonómica y ordenanzas municipales aplicables a las sanciones tributarias.</w:t>
      </w:r>
    </w:p>
    <w:bookmarkEnd w:id="7"/>
    <w:p w14:paraId="4AEF1E30" w14:textId="77777777" w:rsidR="00F5621A" w:rsidRPr="0078463C" w:rsidRDefault="00F5621A" w:rsidP="00F5621A">
      <w:pPr>
        <w:pStyle w:val="Prrafodelista"/>
        <w:spacing w:after="0" w:line="320" w:lineRule="atLeast"/>
        <w:jc w:val="both"/>
        <w:rPr>
          <w:rFonts w:asciiTheme="majorHAnsi" w:hAnsiTheme="majorHAnsi" w:cstheme="majorHAnsi"/>
          <w:color w:val="FF0000"/>
          <w:szCs w:val="24"/>
        </w:rPr>
      </w:pPr>
    </w:p>
    <w:p w14:paraId="1CC73B65" w14:textId="34572AEB" w:rsidR="00875336" w:rsidRPr="0078463C" w:rsidRDefault="006104F5" w:rsidP="0093430A">
      <w:pPr>
        <w:spacing w:after="0" w:line="320" w:lineRule="atLeast"/>
        <w:jc w:val="both"/>
        <w:rPr>
          <w:rFonts w:asciiTheme="majorHAnsi" w:hAnsiTheme="majorHAnsi" w:cstheme="majorHAnsi"/>
          <w:color w:val="000000"/>
          <w:szCs w:val="24"/>
        </w:rPr>
      </w:pPr>
      <w:bookmarkStart w:id="8" w:name="_Hlk80256383"/>
      <w:r w:rsidRPr="0078463C">
        <w:rPr>
          <w:rFonts w:asciiTheme="majorHAnsi" w:hAnsiTheme="majorHAnsi" w:cstheme="majorHAnsi"/>
          <w:szCs w:val="24"/>
        </w:rPr>
        <w:t xml:space="preserve">Además, a la presente contratación también le </w:t>
      </w:r>
      <w:r w:rsidR="00D15D59" w:rsidRPr="0078463C">
        <w:rPr>
          <w:rFonts w:asciiTheme="majorHAnsi" w:hAnsiTheme="majorHAnsi" w:cstheme="majorHAnsi"/>
          <w:szCs w:val="24"/>
        </w:rPr>
        <w:t>resulta</w:t>
      </w:r>
      <w:r w:rsidRPr="0078463C">
        <w:rPr>
          <w:rFonts w:asciiTheme="majorHAnsi" w:hAnsiTheme="majorHAnsi" w:cstheme="majorHAnsi"/>
          <w:szCs w:val="24"/>
        </w:rPr>
        <w:t xml:space="preserve"> de aplicación la Ley Orgánica </w:t>
      </w:r>
      <w:r w:rsidR="00F5621A" w:rsidRPr="0078463C">
        <w:rPr>
          <w:rFonts w:asciiTheme="majorHAnsi" w:hAnsiTheme="majorHAnsi" w:cstheme="majorHAnsi"/>
          <w:szCs w:val="24"/>
        </w:rPr>
        <w:t>3/2018 de 5 de diciembre, de Protección de Datos personales y garantía de los derechos digitales</w:t>
      </w:r>
      <w:r w:rsidR="000847E7" w:rsidRPr="0078463C">
        <w:rPr>
          <w:rFonts w:asciiTheme="majorHAnsi" w:hAnsiTheme="majorHAnsi" w:cstheme="majorHAnsi"/>
          <w:szCs w:val="24"/>
        </w:rPr>
        <w:t xml:space="preserve">, </w:t>
      </w:r>
      <w:r w:rsidRPr="0078463C">
        <w:rPr>
          <w:rFonts w:asciiTheme="majorHAnsi" w:hAnsiTheme="majorHAnsi" w:cstheme="majorHAnsi"/>
          <w:szCs w:val="24"/>
        </w:rPr>
        <w:t>el Real Decreto 1720/2007, de 21 de diciembre, por el que se aprueba el Reglamento de desarrollo de la Ley Orgánica 15/1999, de 13 de diciembre</w:t>
      </w:r>
      <w:r w:rsidR="004E07ED" w:rsidRPr="0078463C">
        <w:rPr>
          <w:rFonts w:asciiTheme="majorHAnsi" w:hAnsiTheme="majorHAnsi" w:cstheme="majorHAnsi"/>
          <w:szCs w:val="24"/>
        </w:rPr>
        <w:t>, en los términos de lo dispuesto en el Reglamento (UE) 2016/679 del Parlamento Europeo y del Consejo de 27 de abril de 2016</w:t>
      </w:r>
      <w:r w:rsidR="000847E7" w:rsidRPr="0078463C">
        <w:rPr>
          <w:rFonts w:asciiTheme="majorHAnsi" w:hAnsiTheme="majorHAnsi" w:cstheme="majorHAnsi"/>
          <w:szCs w:val="24"/>
        </w:rPr>
        <w:t xml:space="preserve"> y el resto de la normativa que resulte de aplicación a la protección de datos de carácter personal.</w:t>
      </w:r>
      <w:r w:rsidR="000847E7" w:rsidRPr="0078463C">
        <w:rPr>
          <w:rFonts w:asciiTheme="majorHAnsi" w:hAnsiTheme="majorHAnsi" w:cstheme="majorHAnsi"/>
          <w:color w:val="000000"/>
          <w:szCs w:val="24"/>
        </w:rPr>
        <w:t xml:space="preserve"> </w:t>
      </w:r>
    </w:p>
    <w:bookmarkEnd w:id="8"/>
    <w:p w14:paraId="785D8666" w14:textId="77777777" w:rsidR="001575F7" w:rsidRDefault="001575F7" w:rsidP="00D43A69">
      <w:pPr>
        <w:pStyle w:val="Prrafodelista"/>
        <w:spacing w:after="0" w:line="320" w:lineRule="atLeast"/>
        <w:ind w:left="0"/>
        <w:jc w:val="both"/>
        <w:rPr>
          <w:rFonts w:asciiTheme="majorHAnsi" w:hAnsiTheme="majorHAnsi" w:cstheme="majorHAnsi"/>
          <w:b/>
          <w:color w:val="000000"/>
          <w:szCs w:val="24"/>
        </w:rPr>
      </w:pPr>
    </w:p>
    <w:p w14:paraId="499FD7EA" w14:textId="180AFB75" w:rsidR="00875336" w:rsidRPr="0078463C" w:rsidRDefault="00875336" w:rsidP="00D43A69">
      <w:pPr>
        <w:pStyle w:val="Prrafodelista"/>
        <w:spacing w:after="0" w:line="320" w:lineRule="atLeast"/>
        <w:ind w:left="0"/>
        <w:jc w:val="both"/>
        <w:rPr>
          <w:rFonts w:asciiTheme="majorHAnsi" w:hAnsiTheme="majorHAnsi" w:cstheme="majorHAnsi"/>
        </w:rPr>
      </w:pPr>
      <w:r w:rsidRPr="0078463C">
        <w:rPr>
          <w:rFonts w:asciiTheme="majorHAnsi" w:hAnsiTheme="majorHAnsi" w:cstheme="majorHAnsi"/>
          <w:b/>
          <w:color w:val="000000"/>
          <w:szCs w:val="24"/>
        </w:rPr>
        <w:t>TERCERO.</w:t>
      </w:r>
      <w:r w:rsidRPr="0078463C">
        <w:rPr>
          <w:rFonts w:asciiTheme="majorHAnsi" w:hAnsiTheme="majorHAnsi" w:cstheme="majorHAnsi"/>
        </w:rPr>
        <w:t>- Teniendo en consideración que el órgano de contrataci</w:t>
      </w:r>
      <w:r w:rsidR="00C63F13" w:rsidRPr="0078463C">
        <w:rPr>
          <w:rFonts w:asciiTheme="majorHAnsi" w:hAnsiTheme="majorHAnsi" w:cstheme="majorHAnsi"/>
        </w:rPr>
        <w:t>ó</w:t>
      </w:r>
      <w:r w:rsidRPr="0078463C">
        <w:rPr>
          <w:rFonts w:asciiTheme="majorHAnsi" w:hAnsiTheme="majorHAnsi" w:cstheme="majorHAnsi"/>
        </w:rPr>
        <w:t xml:space="preserve">n que actúa en nombre de la </w:t>
      </w:r>
      <w:r w:rsidRPr="001575F7">
        <w:rPr>
          <w:rFonts w:asciiTheme="majorHAnsi" w:hAnsiTheme="majorHAnsi" w:cstheme="majorHAnsi"/>
          <w:highlight w:val="lightGray"/>
        </w:rPr>
        <w:t>Entidad Local (especificar), es (especificar),</w:t>
      </w:r>
      <w:r w:rsidRPr="0078463C">
        <w:rPr>
          <w:rFonts w:asciiTheme="majorHAnsi" w:hAnsiTheme="majorHAnsi" w:cstheme="majorHAnsi"/>
        </w:rPr>
        <w:t xml:space="preserve"> en virtud de </w:t>
      </w:r>
      <w:r w:rsidRPr="001575F7">
        <w:rPr>
          <w:rFonts w:asciiTheme="majorHAnsi" w:hAnsiTheme="majorHAnsi" w:cstheme="majorHAnsi"/>
          <w:highlight w:val="lightGray"/>
        </w:rPr>
        <w:t>(completar por la Entidad Local)</w:t>
      </w:r>
      <w:r w:rsidR="00F67BA5" w:rsidRPr="001575F7">
        <w:rPr>
          <w:rFonts w:asciiTheme="majorHAnsi" w:hAnsiTheme="majorHAnsi" w:cstheme="majorHAnsi"/>
          <w:highlight w:val="lightGray"/>
        </w:rPr>
        <w:t>.</w:t>
      </w:r>
    </w:p>
    <w:p w14:paraId="142B05B3" w14:textId="77777777" w:rsidR="00875336" w:rsidRPr="0078463C" w:rsidRDefault="00875336" w:rsidP="00D43A69">
      <w:pPr>
        <w:pStyle w:val="Prrafodelista"/>
        <w:spacing w:after="0" w:line="320" w:lineRule="atLeast"/>
        <w:ind w:left="0"/>
        <w:jc w:val="both"/>
        <w:rPr>
          <w:rFonts w:asciiTheme="majorHAnsi" w:hAnsiTheme="majorHAnsi" w:cstheme="majorHAnsi"/>
        </w:rPr>
      </w:pPr>
    </w:p>
    <w:p w14:paraId="518667C3" w14:textId="77777777" w:rsidR="00D86DA9" w:rsidRPr="0078463C" w:rsidRDefault="00D86DA9" w:rsidP="00D43A69">
      <w:pPr>
        <w:pStyle w:val="Prrafodelista"/>
        <w:spacing w:after="0" w:line="320" w:lineRule="atLeast"/>
        <w:ind w:left="0"/>
        <w:jc w:val="both"/>
        <w:rPr>
          <w:rFonts w:asciiTheme="majorHAnsi" w:hAnsiTheme="majorHAnsi" w:cstheme="majorHAnsi"/>
        </w:rPr>
      </w:pPr>
      <w:r w:rsidRPr="0078463C">
        <w:rPr>
          <w:rFonts w:asciiTheme="majorHAnsi" w:hAnsiTheme="majorHAnsi" w:cstheme="majorHAnsi"/>
        </w:rPr>
        <w:t>Vistos los antecedentes mencionados y las disposiciones legales, vengo a formula</w:t>
      </w:r>
      <w:r w:rsidR="00F67BA5" w:rsidRPr="0078463C">
        <w:rPr>
          <w:rFonts w:asciiTheme="majorHAnsi" w:hAnsiTheme="majorHAnsi" w:cstheme="majorHAnsi"/>
        </w:rPr>
        <w:t>r</w:t>
      </w:r>
      <w:r w:rsidRPr="0078463C">
        <w:rPr>
          <w:rFonts w:asciiTheme="majorHAnsi" w:hAnsiTheme="majorHAnsi" w:cstheme="majorHAnsi"/>
        </w:rPr>
        <w:t xml:space="preserve"> la siguiente:</w:t>
      </w:r>
    </w:p>
    <w:p w14:paraId="2C478579" w14:textId="76CFF263" w:rsidR="00D86DA9" w:rsidRPr="0078463C" w:rsidRDefault="00D86DA9" w:rsidP="00D43A69">
      <w:pPr>
        <w:pStyle w:val="Prrafodelista"/>
        <w:spacing w:after="0" w:line="320" w:lineRule="atLeast"/>
        <w:ind w:left="0"/>
        <w:jc w:val="both"/>
        <w:rPr>
          <w:rFonts w:asciiTheme="majorHAnsi" w:hAnsiTheme="majorHAnsi" w:cstheme="majorHAnsi"/>
        </w:rPr>
      </w:pPr>
    </w:p>
    <w:p w14:paraId="2292BD9F" w14:textId="77777777" w:rsidR="00DD561E" w:rsidRPr="0078463C" w:rsidRDefault="00DD561E" w:rsidP="00D43A69">
      <w:pPr>
        <w:pStyle w:val="Prrafodelista"/>
        <w:spacing w:after="0" w:line="320" w:lineRule="atLeast"/>
        <w:ind w:left="0"/>
        <w:jc w:val="both"/>
        <w:rPr>
          <w:rFonts w:asciiTheme="majorHAnsi" w:hAnsiTheme="majorHAnsi" w:cstheme="majorHAnsi"/>
        </w:rPr>
      </w:pPr>
    </w:p>
    <w:p w14:paraId="4ED8406F" w14:textId="77777777" w:rsidR="00D86DA9" w:rsidRPr="0078463C" w:rsidRDefault="00D86DA9" w:rsidP="00D43A69">
      <w:pPr>
        <w:pStyle w:val="Prrafodelista"/>
        <w:spacing w:after="0" w:line="320" w:lineRule="atLeast"/>
        <w:ind w:left="0"/>
        <w:jc w:val="center"/>
        <w:rPr>
          <w:rFonts w:asciiTheme="majorHAnsi" w:hAnsiTheme="majorHAnsi" w:cstheme="majorHAnsi"/>
          <w:b/>
        </w:rPr>
      </w:pPr>
      <w:r w:rsidRPr="0078463C">
        <w:rPr>
          <w:rFonts w:asciiTheme="majorHAnsi" w:hAnsiTheme="majorHAnsi" w:cstheme="majorHAnsi"/>
          <w:b/>
        </w:rPr>
        <w:t>RESOLUCI</w:t>
      </w:r>
      <w:r w:rsidR="006C434E" w:rsidRPr="0078463C">
        <w:rPr>
          <w:rFonts w:asciiTheme="majorHAnsi" w:hAnsiTheme="majorHAnsi" w:cstheme="majorHAnsi"/>
          <w:b/>
        </w:rPr>
        <w:t>Ó</w:t>
      </w:r>
      <w:r w:rsidRPr="0078463C">
        <w:rPr>
          <w:rFonts w:asciiTheme="majorHAnsi" w:hAnsiTheme="majorHAnsi" w:cstheme="majorHAnsi"/>
          <w:b/>
        </w:rPr>
        <w:t>N</w:t>
      </w:r>
    </w:p>
    <w:p w14:paraId="592CB51E" w14:textId="77777777" w:rsidR="00D86DA9" w:rsidRPr="0078463C" w:rsidRDefault="00D86DA9" w:rsidP="00D43A69">
      <w:pPr>
        <w:pStyle w:val="Prrafodelista"/>
        <w:spacing w:after="0" w:line="320" w:lineRule="atLeast"/>
        <w:ind w:left="0"/>
        <w:jc w:val="both"/>
        <w:rPr>
          <w:rFonts w:asciiTheme="majorHAnsi" w:hAnsiTheme="majorHAnsi" w:cstheme="majorHAnsi"/>
        </w:rPr>
      </w:pPr>
    </w:p>
    <w:p w14:paraId="185A6A21" w14:textId="168A0AD1" w:rsidR="00D43A69" w:rsidRPr="0078463C" w:rsidRDefault="00D86DA9" w:rsidP="00D43A69">
      <w:pPr>
        <w:pStyle w:val="Prrafodelista"/>
        <w:spacing w:after="0" w:line="320" w:lineRule="atLeast"/>
        <w:ind w:left="0"/>
        <w:jc w:val="both"/>
        <w:rPr>
          <w:rFonts w:asciiTheme="majorHAnsi" w:hAnsiTheme="majorHAnsi" w:cstheme="majorHAnsi"/>
        </w:rPr>
      </w:pPr>
      <w:r w:rsidRPr="0078463C">
        <w:rPr>
          <w:rFonts w:asciiTheme="majorHAnsi" w:hAnsiTheme="majorHAnsi" w:cstheme="majorHAnsi"/>
          <w:b/>
          <w:bCs/>
        </w:rPr>
        <w:t>PRIMERO.-</w:t>
      </w:r>
      <w:r w:rsidR="001276C2" w:rsidRPr="0078463C">
        <w:rPr>
          <w:rFonts w:asciiTheme="majorHAnsi" w:hAnsiTheme="majorHAnsi" w:cstheme="majorHAnsi"/>
        </w:rPr>
        <w:t>Iniciar el procedimiento de licitación y</w:t>
      </w:r>
      <w:r w:rsidRPr="0078463C">
        <w:rPr>
          <w:rFonts w:asciiTheme="majorHAnsi" w:hAnsiTheme="majorHAnsi" w:cstheme="majorHAnsi"/>
        </w:rPr>
        <w:t xml:space="preserve"> </w:t>
      </w:r>
      <w:r w:rsidR="00D93F2D" w:rsidRPr="0078463C">
        <w:rPr>
          <w:rFonts w:asciiTheme="majorHAnsi" w:hAnsiTheme="majorHAnsi" w:cstheme="majorHAnsi"/>
        </w:rPr>
        <w:t xml:space="preserve">simultáneamente </w:t>
      </w:r>
      <w:r w:rsidR="001276C2" w:rsidRPr="0078463C">
        <w:rPr>
          <w:rFonts w:asciiTheme="majorHAnsi" w:hAnsiTheme="majorHAnsi" w:cstheme="majorHAnsi"/>
        </w:rPr>
        <w:t xml:space="preserve">adjudicar </w:t>
      </w:r>
      <w:r w:rsidRPr="0078463C">
        <w:rPr>
          <w:rFonts w:asciiTheme="majorHAnsi" w:hAnsiTheme="majorHAnsi" w:cstheme="majorHAnsi"/>
        </w:rPr>
        <w:t xml:space="preserve">el </w:t>
      </w:r>
      <w:r w:rsidR="00F9683B" w:rsidRPr="0078463C">
        <w:rPr>
          <w:rFonts w:asciiTheme="majorHAnsi" w:hAnsiTheme="majorHAnsi" w:cstheme="majorHAnsi"/>
        </w:rPr>
        <w:t xml:space="preserve">Contrato </w:t>
      </w:r>
      <w:r w:rsidR="000C6037" w:rsidRPr="0078463C">
        <w:rPr>
          <w:rFonts w:asciiTheme="majorHAnsi" w:hAnsiTheme="majorHAnsi" w:cstheme="majorHAnsi"/>
        </w:rPr>
        <w:t xml:space="preserve">basado </w:t>
      </w:r>
      <w:r w:rsidRPr="0078463C">
        <w:rPr>
          <w:rFonts w:asciiTheme="majorHAnsi" w:hAnsiTheme="majorHAnsi" w:cstheme="majorHAnsi"/>
        </w:rPr>
        <w:t xml:space="preserve">para </w:t>
      </w:r>
      <w:r w:rsidR="00517BCD" w:rsidRPr="0078463C">
        <w:rPr>
          <w:rFonts w:asciiTheme="majorHAnsi" w:hAnsiTheme="majorHAnsi" w:cstheme="majorHAnsi"/>
        </w:rPr>
        <w:t xml:space="preserve">el </w:t>
      </w:r>
      <w:r w:rsidR="00765A35" w:rsidRPr="001076AA">
        <w:rPr>
          <w:rFonts w:asciiTheme="majorHAnsi" w:hAnsiTheme="majorHAnsi" w:cstheme="majorHAnsi"/>
        </w:rPr>
        <w:t xml:space="preserve">servicio de asistencia técnica para la inspección tributaria y procedimiento sancionador por infracciones </w:t>
      </w:r>
      <w:r w:rsidR="00765A35" w:rsidRPr="00C915D9">
        <w:rPr>
          <w:rFonts w:asciiTheme="majorHAnsi" w:hAnsiTheme="majorHAnsi" w:cstheme="majorHAnsi"/>
        </w:rPr>
        <w:t>tributarias</w:t>
      </w:r>
      <w:r w:rsidR="00517BCD" w:rsidRPr="0078463C">
        <w:rPr>
          <w:rFonts w:asciiTheme="majorHAnsi" w:hAnsiTheme="majorHAnsi" w:cstheme="majorHAnsi"/>
        </w:rPr>
        <w:t xml:space="preserve"> </w:t>
      </w:r>
      <w:r w:rsidRPr="0078463C">
        <w:rPr>
          <w:rFonts w:asciiTheme="majorHAnsi" w:hAnsiTheme="majorHAnsi" w:cstheme="majorHAnsi"/>
        </w:rPr>
        <w:t xml:space="preserve">de </w:t>
      </w:r>
      <w:r w:rsidRPr="00765A35">
        <w:rPr>
          <w:rFonts w:asciiTheme="majorHAnsi" w:hAnsiTheme="majorHAnsi" w:cstheme="majorHAnsi"/>
          <w:highlight w:val="lightGray"/>
        </w:rPr>
        <w:t>la Entidad Local (</w:t>
      </w:r>
      <w:r w:rsidR="00C77649" w:rsidRPr="00765A35">
        <w:rPr>
          <w:rFonts w:asciiTheme="majorHAnsi" w:hAnsiTheme="majorHAnsi" w:cstheme="majorHAnsi"/>
          <w:highlight w:val="lightGray"/>
        </w:rPr>
        <w:t xml:space="preserve">*** </w:t>
      </w:r>
      <w:r w:rsidRPr="00765A35">
        <w:rPr>
          <w:rFonts w:asciiTheme="majorHAnsi" w:hAnsiTheme="majorHAnsi" w:cstheme="majorHAnsi"/>
          <w:highlight w:val="lightGray"/>
        </w:rPr>
        <w:t>concretar</w:t>
      </w:r>
      <w:r w:rsidRPr="0078463C">
        <w:rPr>
          <w:rFonts w:asciiTheme="majorHAnsi" w:hAnsiTheme="majorHAnsi" w:cstheme="majorHAnsi"/>
        </w:rPr>
        <w:t xml:space="preserve">) a la única adjudicataria del Lote </w:t>
      </w:r>
      <w:r w:rsidRPr="002913A0">
        <w:rPr>
          <w:rFonts w:asciiTheme="majorHAnsi" w:hAnsiTheme="majorHAnsi" w:cstheme="majorHAnsi"/>
        </w:rPr>
        <w:t>(</w:t>
      </w:r>
      <w:r w:rsidR="00343B3B" w:rsidRPr="002913A0">
        <w:rPr>
          <w:rFonts w:asciiTheme="majorHAnsi" w:hAnsiTheme="majorHAnsi" w:cstheme="majorHAnsi"/>
        </w:rPr>
        <w:t>Coordinadora de Gestión de Ingresos (CGI),</w:t>
      </w:r>
      <w:r w:rsidRPr="002913A0">
        <w:rPr>
          <w:rFonts w:asciiTheme="majorHAnsi" w:hAnsiTheme="majorHAnsi" w:cstheme="majorHAnsi"/>
        </w:rPr>
        <w:t xml:space="preserve"> del</w:t>
      </w:r>
      <w:r w:rsidRPr="0078463C">
        <w:rPr>
          <w:rFonts w:asciiTheme="majorHAnsi" w:hAnsiTheme="majorHAnsi" w:cstheme="majorHAnsi"/>
        </w:rPr>
        <w:t xml:space="preserve"> </w:t>
      </w:r>
      <w:r w:rsidR="00517BCD" w:rsidRPr="0078463C">
        <w:rPr>
          <w:rFonts w:asciiTheme="majorHAnsi" w:hAnsiTheme="majorHAnsi" w:cstheme="majorHAnsi"/>
        </w:rPr>
        <w:t xml:space="preserve">Acuerdo Marco para la prestación del servicio </w:t>
      </w:r>
      <w:r w:rsidR="005703E1" w:rsidRPr="001076AA">
        <w:rPr>
          <w:rFonts w:asciiTheme="majorHAnsi" w:hAnsiTheme="majorHAnsi" w:cstheme="majorHAnsi"/>
        </w:rPr>
        <w:t xml:space="preserve">asistencia técnica para la inspección tributaria y procedimiento sancionador por infracciones </w:t>
      </w:r>
      <w:r w:rsidR="005703E1" w:rsidRPr="00C915D9">
        <w:rPr>
          <w:rFonts w:asciiTheme="majorHAnsi" w:hAnsiTheme="majorHAnsi" w:cstheme="majorHAnsi"/>
        </w:rPr>
        <w:lastRenderedPageBreak/>
        <w:t>tributarias</w:t>
      </w:r>
      <w:r w:rsidR="005703E1" w:rsidRPr="0078463C">
        <w:rPr>
          <w:rFonts w:asciiTheme="majorHAnsi" w:hAnsiTheme="majorHAnsi" w:cstheme="majorHAnsi"/>
        </w:rPr>
        <w:t xml:space="preserve"> </w:t>
      </w:r>
      <w:r w:rsidR="00517BCD" w:rsidRPr="0078463C">
        <w:rPr>
          <w:rFonts w:asciiTheme="majorHAnsi" w:hAnsiTheme="majorHAnsi" w:cstheme="majorHAnsi"/>
        </w:rPr>
        <w:t xml:space="preserve">por parte de la Central de Contratación </w:t>
      </w:r>
      <w:r w:rsidR="00517BCD" w:rsidRPr="005703E1">
        <w:rPr>
          <w:rFonts w:asciiTheme="majorHAnsi" w:hAnsiTheme="majorHAnsi" w:cstheme="majorHAnsi"/>
        </w:rPr>
        <w:t>de la FEMP</w:t>
      </w:r>
      <w:r w:rsidRPr="005703E1">
        <w:rPr>
          <w:rFonts w:asciiTheme="majorHAnsi" w:hAnsiTheme="majorHAnsi" w:cstheme="majorHAnsi"/>
        </w:rPr>
        <w:t xml:space="preserve">, </w:t>
      </w:r>
      <w:r w:rsidR="00AF20BD" w:rsidRPr="005703E1">
        <w:rPr>
          <w:rFonts w:asciiTheme="majorHAnsi" w:hAnsiTheme="majorHAnsi" w:cstheme="majorHAnsi"/>
        </w:rPr>
        <w:t xml:space="preserve">con sujeción </w:t>
      </w:r>
      <w:r w:rsidR="00AF20BD" w:rsidRPr="0078463C">
        <w:rPr>
          <w:rFonts w:asciiTheme="majorHAnsi" w:hAnsiTheme="majorHAnsi" w:cstheme="majorHAnsi"/>
        </w:rPr>
        <w:t xml:space="preserve">a las condiciones previstas en el antecedente </w:t>
      </w:r>
      <w:r w:rsidR="00343B3B">
        <w:rPr>
          <w:rFonts w:asciiTheme="majorHAnsi" w:hAnsiTheme="majorHAnsi" w:cstheme="majorHAnsi"/>
        </w:rPr>
        <w:t>sexto</w:t>
      </w:r>
      <w:r w:rsidR="00AF20BD" w:rsidRPr="0078463C">
        <w:rPr>
          <w:rFonts w:asciiTheme="majorHAnsi" w:hAnsiTheme="majorHAnsi" w:cstheme="majorHAnsi"/>
        </w:rPr>
        <w:t>, así como a lo dispuesto en el P</w:t>
      </w:r>
      <w:r w:rsidR="00343B3B">
        <w:rPr>
          <w:rFonts w:asciiTheme="majorHAnsi" w:hAnsiTheme="majorHAnsi" w:cstheme="majorHAnsi"/>
        </w:rPr>
        <w:t xml:space="preserve">CA y en el PPT. </w:t>
      </w:r>
    </w:p>
    <w:p w14:paraId="568420EF" w14:textId="77777777" w:rsidR="00C12A43" w:rsidRPr="0078463C" w:rsidRDefault="00C12A43" w:rsidP="00B3611C">
      <w:pPr>
        <w:pStyle w:val="Prrafodelista"/>
        <w:spacing w:after="0" w:line="320" w:lineRule="atLeast"/>
        <w:ind w:left="0"/>
        <w:jc w:val="center"/>
        <w:rPr>
          <w:rFonts w:asciiTheme="majorHAnsi" w:hAnsiTheme="majorHAnsi" w:cstheme="majorHAnsi"/>
          <w:color w:val="FF0000"/>
        </w:rPr>
      </w:pPr>
    </w:p>
    <w:p w14:paraId="08BFBE4E" w14:textId="75C01AB2" w:rsidR="00B3611C" w:rsidRPr="0078463C" w:rsidRDefault="00C12A43" w:rsidP="00125A8E">
      <w:pPr>
        <w:spacing w:line="240" w:lineRule="auto"/>
        <w:jc w:val="both"/>
        <w:rPr>
          <w:rFonts w:asciiTheme="majorHAnsi" w:hAnsiTheme="majorHAnsi" w:cstheme="majorHAnsi"/>
        </w:rPr>
      </w:pPr>
      <w:bookmarkStart w:id="9" w:name="_Hlk80256463"/>
      <w:r w:rsidRPr="0078463C">
        <w:rPr>
          <w:rFonts w:asciiTheme="majorHAnsi" w:hAnsiTheme="majorHAnsi" w:cstheme="majorHAnsi"/>
          <w:b/>
        </w:rPr>
        <w:t>SEGUNDO.-</w:t>
      </w:r>
      <w:r w:rsidRPr="0078463C">
        <w:rPr>
          <w:rFonts w:asciiTheme="majorHAnsi" w:hAnsiTheme="majorHAnsi" w:cstheme="majorHAnsi"/>
        </w:rPr>
        <w:t xml:space="preserve"> Comunicar esta resolución a la adjudicataria a través de la Plataforma informática de la Central de Contratación, publicar esta resolución en el Perfil del contratante de esta Entidad Local y notificar la misma conforme a lo establecido en la LCSP.</w:t>
      </w:r>
    </w:p>
    <w:p w14:paraId="4246F9D4" w14:textId="77777777" w:rsidR="00D43A69" w:rsidRPr="0078463C" w:rsidRDefault="00D43A69" w:rsidP="00125A8E">
      <w:pPr>
        <w:spacing w:after="0" w:line="240" w:lineRule="auto"/>
        <w:jc w:val="both"/>
        <w:rPr>
          <w:rFonts w:asciiTheme="majorHAnsi" w:hAnsiTheme="majorHAnsi" w:cstheme="majorHAnsi"/>
        </w:rPr>
      </w:pPr>
    </w:p>
    <w:p w14:paraId="66A8162C" w14:textId="7AD53D36" w:rsidR="00C12A43" w:rsidRPr="0078463C" w:rsidRDefault="00C12A43" w:rsidP="00125A8E">
      <w:pPr>
        <w:spacing w:line="240" w:lineRule="auto"/>
        <w:jc w:val="both"/>
        <w:rPr>
          <w:rFonts w:asciiTheme="majorHAnsi" w:hAnsiTheme="majorHAnsi" w:cstheme="majorHAnsi"/>
        </w:rPr>
      </w:pPr>
      <w:r w:rsidRPr="0078463C">
        <w:rPr>
          <w:rFonts w:asciiTheme="majorHAnsi" w:hAnsiTheme="majorHAnsi" w:cstheme="majorHAnsi"/>
          <w:b/>
        </w:rPr>
        <w:t>TERCERO</w:t>
      </w:r>
      <w:r w:rsidRPr="0078463C">
        <w:rPr>
          <w:rFonts w:asciiTheme="majorHAnsi" w:hAnsiTheme="majorHAnsi" w:cstheme="majorHAnsi"/>
          <w:i/>
        </w:rPr>
        <w:t xml:space="preserve">.- </w:t>
      </w:r>
      <w:r w:rsidRPr="0078463C">
        <w:rPr>
          <w:rFonts w:asciiTheme="majorHAnsi" w:hAnsiTheme="majorHAnsi" w:cstheme="majorHAnsi"/>
        </w:rPr>
        <w:t xml:space="preserve">La presente Resolución agota la vía administrativa y contra la misma podrá interponerse recurso especial en materia de </w:t>
      </w:r>
      <w:r w:rsidRPr="00BC66EE">
        <w:rPr>
          <w:rFonts w:asciiTheme="majorHAnsi" w:hAnsiTheme="majorHAnsi" w:cstheme="majorHAnsi"/>
        </w:rPr>
        <w:t xml:space="preserve">contratación </w:t>
      </w:r>
      <w:r w:rsidRPr="00BC66EE">
        <w:rPr>
          <w:rFonts w:asciiTheme="majorHAnsi" w:hAnsiTheme="majorHAnsi" w:cstheme="majorHAnsi"/>
          <w:color w:val="FF0000"/>
          <w:highlight w:val="lightGray"/>
        </w:rPr>
        <w:t>(</w:t>
      </w:r>
      <w:r w:rsidR="00125A8E">
        <w:rPr>
          <w:rFonts w:asciiTheme="majorHAnsi" w:hAnsiTheme="majorHAnsi" w:cstheme="majorHAnsi"/>
          <w:color w:val="FF0000"/>
          <w:highlight w:val="lightGray"/>
        </w:rPr>
        <w:t xml:space="preserve">será susceptible de recurso especial </w:t>
      </w:r>
      <w:r w:rsidRPr="00BC66EE">
        <w:rPr>
          <w:rFonts w:asciiTheme="majorHAnsi" w:hAnsiTheme="majorHAnsi" w:cstheme="majorHAnsi"/>
          <w:color w:val="FF0000"/>
          <w:highlight w:val="lightGray"/>
        </w:rPr>
        <w:t xml:space="preserve">cuando </w:t>
      </w:r>
      <w:r w:rsidR="00125A8E">
        <w:rPr>
          <w:rFonts w:asciiTheme="majorHAnsi" w:hAnsiTheme="majorHAnsi" w:cstheme="majorHAnsi"/>
          <w:color w:val="FF0000"/>
          <w:highlight w:val="lightGray"/>
        </w:rPr>
        <w:t>e</w:t>
      </w:r>
      <w:r w:rsidRPr="00BC66EE">
        <w:rPr>
          <w:rFonts w:asciiTheme="majorHAnsi" w:hAnsiTheme="majorHAnsi" w:cstheme="majorHAnsi"/>
          <w:color w:val="FF0000"/>
          <w:highlight w:val="lightGray"/>
        </w:rPr>
        <w:t>l valor estimado del contrato supere los 100.000 euros</w:t>
      </w:r>
      <w:r w:rsidRPr="00BC66EE">
        <w:rPr>
          <w:rFonts w:asciiTheme="majorHAnsi" w:hAnsiTheme="majorHAnsi" w:cstheme="majorHAnsi"/>
          <w:highlight w:val="lightGray"/>
        </w:rPr>
        <w:t>)</w:t>
      </w:r>
      <w:r w:rsidRPr="0078463C">
        <w:rPr>
          <w:rFonts w:asciiTheme="majorHAnsi" w:hAnsiTheme="majorHAnsi" w:cstheme="majorHAnsi"/>
        </w:rPr>
        <w:t xml:space="preserve"> o bien directamente recurso contencioso-administrativo en el plazo de dos meses, de conformidad con lo dispuesto en la Ley 29/1998, de 13 de julio, Reguladora de la Jurisdicción Contencioso-Administrativa.</w:t>
      </w:r>
    </w:p>
    <w:p w14:paraId="194696C2" w14:textId="77777777" w:rsidR="00C12A43" w:rsidRPr="0078463C" w:rsidRDefault="00C12A43" w:rsidP="00125A8E">
      <w:pPr>
        <w:spacing w:line="240" w:lineRule="auto"/>
        <w:jc w:val="both"/>
        <w:rPr>
          <w:rFonts w:asciiTheme="majorHAnsi" w:hAnsiTheme="majorHAnsi" w:cstheme="majorHAnsi"/>
        </w:rPr>
      </w:pPr>
      <w:r w:rsidRPr="0078463C">
        <w:rPr>
          <w:rFonts w:asciiTheme="majorHAnsi" w:hAnsiTheme="majorHAnsi" w:cstheme="majorHAnsi"/>
          <w:b/>
        </w:rPr>
        <w:t>CUARTO</w:t>
      </w:r>
      <w:r w:rsidRPr="0078463C">
        <w:rPr>
          <w:rFonts w:asciiTheme="majorHAnsi" w:hAnsiTheme="majorHAnsi" w:cstheme="majorHAnsi"/>
        </w:rPr>
        <w:t>.- El Contrato basado desplegará efectos desde la notificación de la presente Resolución de adjudicación.</w:t>
      </w:r>
    </w:p>
    <w:bookmarkEnd w:id="9"/>
    <w:p w14:paraId="506E29D7" w14:textId="77777777" w:rsidR="00D43A69" w:rsidRPr="0078463C" w:rsidRDefault="00D43A69" w:rsidP="00D43A69">
      <w:pPr>
        <w:spacing w:after="0" w:line="320" w:lineRule="atLeast"/>
        <w:jc w:val="center"/>
        <w:rPr>
          <w:rFonts w:asciiTheme="majorHAnsi" w:hAnsiTheme="majorHAnsi" w:cstheme="majorHAnsi"/>
        </w:rPr>
      </w:pPr>
    </w:p>
    <w:p w14:paraId="67EF2918" w14:textId="77777777" w:rsidR="00D43A69" w:rsidRPr="0078463C" w:rsidRDefault="00D43A69" w:rsidP="00D43A69">
      <w:pPr>
        <w:spacing w:after="0" w:line="320" w:lineRule="atLeast"/>
        <w:jc w:val="both"/>
        <w:rPr>
          <w:rFonts w:asciiTheme="majorHAnsi" w:hAnsiTheme="majorHAnsi" w:cstheme="majorHAnsi"/>
        </w:rPr>
      </w:pPr>
    </w:p>
    <w:p w14:paraId="5D086A23" w14:textId="77777777" w:rsidR="00A920B3" w:rsidRPr="0078463C" w:rsidRDefault="00132802" w:rsidP="00D43A69">
      <w:pPr>
        <w:spacing w:after="0" w:line="320" w:lineRule="atLeast"/>
        <w:jc w:val="center"/>
        <w:rPr>
          <w:rFonts w:asciiTheme="majorHAnsi" w:hAnsiTheme="majorHAnsi" w:cstheme="majorHAnsi"/>
        </w:rPr>
      </w:pPr>
      <w:r w:rsidRPr="0078463C">
        <w:rPr>
          <w:rFonts w:asciiTheme="majorHAnsi" w:hAnsiTheme="majorHAnsi" w:cstheme="majorHAnsi"/>
        </w:rPr>
        <w:t>INDICAR FECHA Y LUGAR</w:t>
      </w:r>
    </w:p>
    <w:p w14:paraId="26DCBA8D" w14:textId="77777777" w:rsidR="00132802" w:rsidRPr="0078463C" w:rsidRDefault="00132802" w:rsidP="00D43A69">
      <w:pPr>
        <w:spacing w:after="0" w:line="320" w:lineRule="atLeast"/>
        <w:jc w:val="center"/>
        <w:rPr>
          <w:rFonts w:asciiTheme="majorHAnsi" w:hAnsiTheme="majorHAnsi" w:cstheme="majorHAnsi"/>
        </w:rPr>
      </w:pPr>
    </w:p>
    <w:p w14:paraId="7CED7408" w14:textId="77777777" w:rsidR="00D43A69" w:rsidRPr="0078463C" w:rsidRDefault="00D43A69" w:rsidP="00D43A69">
      <w:pPr>
        <w:spacing w:after="0" w:line="320" w:lineRule="atLeast"/>
        <w:jc w:val="center"/>
        <w:rPr>
          <w:rFonts w:asciiTheme="majorHAnsi" w:hAnsiTheme="majorHAnsi" w:cstheme="majorHAnsi"/>
        </w:rPr>
      </w:pPr>
    </w:p>
    <w:p w14:paraId="3C895BAE" w14:textId="77777777" w:rsidR="00D43A69" w:rsidRPr="0078463C" w:rsidRDefault="00D43A69" w:rsidP="00D43A69">
      <w:pPr>
        <w:spacing w:after="0" w:line="320" w:lineRule="atLeast"/>
        <w:jc w:val="center"/>
        <w:rPr>
          <w:rFonts w:asciiTheme="majorHAnsi" w:hAnsiTheme="majorHAnsi" w:cstheme="majorHAnsi"/>
        </w:rPr>
      </w:pPr>
    </w:p>
    <w:p w14:paraId="7C8EF6F4" w14:textId="77777777" w:rsidR="00D43A69" w:rsidRPr="0078463C" w:rsidRDefault="00D43A69" w:rsidP="00D43A69">
      <w:pPr>
        <w:spacing w:after="0" w:line="320" w:lineRule="atLeast"/>
        <w:jc w:val="center"/>
        <w:rPr>
          <w:rFonts w:asciiTheme="majorHAnsi" w:hAnsiTheme="majorHAnsi" w:cstheme="majorHAnsi"/>
        </w:rPr>
      </w:pPr>
    </w:p>
    <w:p w14:paraId="13A4D931" w14:textId="224AC9FC" w:rsidR="00132802" w:rsidRPr="0078463C" w:rsidRDefault="0072681F" w:rsidP="00D43A69">
      <w:pPr>
        <w:spacing w:after="0" w:line="320" w:lineRule="atLeast"/>
        <w:jc w:val="center"/>
        <w:rPr>
          <w:rFonts w:asciiTheme="majorHAnsi" w:hAnsiTheme="majorHAnsi" w:cstheme="majorHAnsi"/>
        </w:rPr>
      </w:pPr>
      <w:r w:rsidRPr="0078463C">
        <w:rPr>
          <w:rFonts w:asciiTheme="majorHAnsi" w:hAnsiTheme="majorHAnsi" w:cstheme="majorHAnsi"/>
        </w:rPr>
        <w:t>(FIRMA)</w:t>
      </w:r>
    </w:p>
    <w:p w14:paraId="3C492BCD" w14:textId="77777777" w:rsidR="00D931B4" w:rsidRPr="0078463C" w:rsidRDefault="00D931B4" w:rsidP="00AE2396">
      <w:pPr>
        <w:spacing w:after="0" w:line="320" w:lineRule="atLeast"/>
        <w:rPr>
          <w:rFonts w:asciiTheme="majorHAnsi" w:hAnsiTheme="majorHAnsi" w:cstheme="majorHAnsi"/>
        </w:rPr>
      </w:pPr>
    </w:p>
    <w:sectPr w:rsidR="00D931B4" w:rsidRPr="0078463C" w:rsidSect="00C20F4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0CA2" w14:textId="77777777" w:rsidR="00634A01" w:rsidRDefault="00634A01" w:rsidP="00472F7F">
      <w:pPr>
        <w:spacing w:after="0" w:line="240" w:lineRule="auto"/>
      </w:pPr>
      <w:r>
        <w:separator/>
      </w:r>
    </w:p>
  </w:endnote>
  <w:endnote w:type="continuationSeparator" w:id="0">
    <w:p w14:paraId="3A18841A" w14:textId="77777777" w:rsidR="00634A01" w:rsidRDefault="00634A01" w:rsidP="0047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8424" w14:textId="77777777" w:rsidR="00FD06AF" w:rsidRDefault="00FD06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1401" w14:textId="77777777" w:rsidR="00FD06AF" w:rsidRDefault="00FD06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02DA" w14:textId="77777777" w:rsidR="00FD06AF" w:rsidRDefault="00FD06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2AEC" w14:textId="77777777" w:rsidR="00634A01" w:rsidRDefault="00634A01" w:rsidP="00472F7F">
      <w:pPr>
        <w:spacing w:after="0" w:line="240" w:lineRule="auto"/>
      </w:pPr>
      <w:r>
        <w:separator/>
      </w:r>
    </w:p>
  </w:footnote>
  <w:footnote w:type="continuationSeparator" w:id="0">
    <w:p w14:paraId="381F53D2" w14:textId="77777777" w:rsidR="00634A01" w:rsidRDefault="00634A01" w:rsidP="00472F7F">
      <w:pPr>
        <w:spacing w:after="0" w:line="240" w:lineRule="auto"/>
      </w:pPr>
      <w:r>
        <w:continuationSeparator/>
      </w:r>
    </w:p>
  </w:footnote>
  <w:footnote w:id="1">
    <w:p w14:paraId="648B566F" w14:textId="738ABDDE" w:rsidR="00520A26" w:rsidRPr="00520A26" w:rsidRDefault="00520A26" w:rsidP="00520A26">
      <w:pPr>
        <w:pStyle w:val="Prrafodelista"/>
        <w:spacing w:after="0" w:line="240" w:lineRule="auto"/>
        <w:jc w:val="both"/>
        <w:rPr>
          <w:rFonts w:asciiTheme="majorHAnsi" w:hAnsiTheme="majorHAnsi" w:cstheme="majorHAnsi"/>
          <w:i/>
          <w:sz w:val="16"/>
          <w:szCs w:val="16"/>
        </w:rPr>
      </w:pPr>
      <w:r w:rsidRPr="00520A26">
        <w:rPr>
          <w:rStyle w:val="Refdenotaalpie"/>
          <w:sz w:val="16"/>
          <w:szCs w:val="16"/>
        </w:rPr>
        <w:footnoteRef/>
      </w:r>
      <w:r w:rsidRPr="00520A26">
        <w:rPr>
          <w:sz w:val="16"/>
          <w:szCs w:val="16"/>
        </w:rPr>
        <w:t xml:space="preserve"> </w:t>
      </w:r>
      <w:bookmarkStart w:id="1" w:name="_Hlk168571825"/>
      <w:r>
        <w:rPr>
          <w:rFonts w:asciiTheme="majorHAnsi" w:hAnsiTheme="majorHAnsi" w:cstheme="majorHAnsi"/>
          <w:i/>
          <w:sz w:val="16"/>
          <w:szCs w:val="16"/>
        </w:rPr>
        <w:t>L</w:t>
      </w:r>
      <w:r w:rsidRPr="00520A26">
        <w:rPr>
          <w:rFonts w:asciiTheme="majorHAnsi" w:hAnsiTheme="majorHAnsi" w:cstheme="majorHAnsi"/>
          <w:i/>
          <w:sz w:val="16"/>
          <w:szCs w:val="16"/>
        </w:rPr>
        <w:t xml:space="preserve">os contratos basados tendrán una duración de doce (12) meses, pudiendo ser objeto de tres (3) prórrogas de un (1) año cada una. La duración máxima de los contratos basados podrá ser de cuatro (4) años, incluyendo posibles prórrogas. </w:t>
      </w:r>
    </w:p>
    <w:p w14:paraId="507FCB19" w14:textId="77777777" w:rsidR="00520A26" w:rsidRPr="00520A26" w:rsidRDefault="00520A26" w:rsidP="00520A26">
      <w:pPr>
        <w:pStyle w:val="Prrafodelista"/>
        <w:spacing w:after="0" w:line="240" w:lineRule="auto"/>
        <w:jc w:val="both"/>
        <w:rPr>
          <w:rFonts w:asciiTheme="majorHAnsi" w:hAnsiTheme="majorHAnsi" w:cstheme="majorHAnsi"/>
          <w:i/>
          <w:sz w:val="16"/>
          <w:szCs w:val="16"/>
        </w:rPr>
      </w:pPr>
      <w:r w:rsidRPr="00520A26">
        <w:rPr>
          <w:rFonts w:asciiTheme="majorHAnsi" w:hAnsiTheme="majorHAnsi" w:cstheme="majorHAnsi"/>
          <w:i/>
          <w:sz w:val="16"/>
          <w:szCs w:val="16"/>
        </w:rPr>
        <w:t xml:space="preserve">No obstante, los contratos basados que se adjudiquen en el tercer (3º) y cuarto (4º) año de vigencia del Acuerdo Marco, en caso de que resultara prorrogado, tendrán una duración de doce (12) meses pudiendo ser objeto de una (1) única prórroga anual, por lo que su duración máxima será de 24 meses (2 años). </w:t>
      </w:r>
    </w:p>
    <w:bookmarkEnd w:id="1"/>
    <w:p w14:paraId="6C3AD685" w14:textId="519F51B4" w:rsidR="00520A26" w:rsidRDefault="00520A26">
      <w:pPr>
        <w:pStyle w:val="Textonotapie"/>
      </w:pPr>
    </w:p>
  </w:footnote>
  <w:footnote w:id="2">
    <w:p w14:paraId="20A357B8" w14:textId="7329B434" w:rsidR="00196650" w:rsidRPr="00196650" w:rsidRDefault="00196650" w:rsidP="00196650">
      <w:pPr>
        <w:pStyle w:val="Prrafodelista"/>
        <w:spacing w:after="0" w:line="240" w:lineRule="auto"/>
        <w:jc w:val="both"/>
        <w:rPr>
          <w:rFonts w:asciiTheme="majorHAnsi" w:hAnsiTheme="majorHAnsi" w:cstheme="majorHAnsi"/>
          <w:i/>
          <w:sz w:val="16"/>
          <w:szCs w:val="16"/>
        </w:rPr>
      </w:pPr>
      <w:r>
        <w:rPr>
          <w:rStyle w:val="Refdenotaalpie"/>
        </w:rPr>
        <w:footnoteRef/>
      </w:r>
      <w:r>
        <w:t xml:space="preserve"> </w:t>
      </w:r>
      <w:bookmarkStart w:id="5" w:name="_Hlk168571983"/>
      <w:r w:rsidRPr="00196650">
        <w:rPr>
          <w:rFonts w:asciiTheme="majorHAnsi" w:hAnsiTheme="majorHAnsi" w:cstheme="majorHAnsi"/>
          <w:i/>
          <w:sz w:val="16"/>
          <w:szCs w:val="16"/>
        </w:rPr>
        <w:t>En caso de solicitar garantía</w:t>
      </w:r>
      <w:r>
        <w:rPr>
          <w:rFonts w:asciiTheme="majorHAnsi" w:hAnsiTheme="majorHAnsi" w:cstheme="majorHAnsi"/>
          <w:i/>
          <w:sz w:val="16"/>
          <w:szCs w:val="16"/>
        </w:rPr>
        <w:t xml:space="preserve"> </w:t>
      </w:r>
      <w:r w:rsidR="00E82656">
        <w:rPr>
          <w:rFonts w:asciiTheme="majorHAnsi" w:hAnsiTheme="majorHAnsi" w:cstheme="majorHAnsi"/>
          <w:i/>
          <w:sz w:val="16"/>
          <w:szCs w:val="16"/>
        </w:rPr>
        <w:t>específica</w:t>
      </w:r>
      <w:r>
        <w:rPr>
          <w:rFonts w:asciiTheme="majorHAnsi" w:hAnsiTheme="majorHAnsi" w:cstheme="majorHAnsi"/>
          <w:i/>
          <w:sz w:val="16"/>
          <w:szCs w:val="16"/>
        </w:rPr>
        <w:t xml:space="preserve"> para el contrato basado</w:t>
      </w:r>
      <w:r w:rsidRPr="00196650">
        <w:rPr>
          <w:rFonts w:asciiTheme="majorHAnsi" w:hAnsiTheme="majorHAnsi" w:cstheme="majorHAnsi"/>
          <w:i/>
          <w:sz w:val="16"/>
          <w:szCs w:val="16"/>
        </w:rPr>
        <w:t xml:space="preserve"> </w:t>
      </w:r>
      <w:r>
        <w:rPr>
          <w:rFonts w:asciiTheme="majorHAnsi" w:hAnsiTheme="majorHAnsi" w:cstheme="majorHAnsi"/>
          <w:i/>
          <w:sz w:val="16"/>
          <w:szCs w:val="16"/>
        </w:rPr>
        <w:t>d</w:t>
      </w:r>
      <w:r w:rsidRPr="00196650">
        <w:rPr>
          <w:rFonts w:asciiTheme="majorHAnsi" w:hAnsiTheme="majorHAnsi" w:cstheme="majorHAnsi"/>
          <w:i/>
          <w:sz w:val="16"/>
          <w:szCs w:val="16"/>
        </w:rPr>
        <w:t xml:space="preserve">ebe </w:t>
      </w:r>
      <w:r>
        <w:rPr>
          <w:rFonts w:asciiTheme="majorHAnsi" w:hAnsiTheme="majorHAnsi" w:cstheme="majorHAnsi"/>
          <w:i/>
          <w:sz w:val="16"/>
          <w:szCs w:val="16"/>
        </w:rPr>
        <w:t>concretarse</w:t>
      </w:r>
      <w:r w:rsidRPr="00196650">
        <w:rPr>
          <w:rFonts w:asciiTheme="majorHAnsi" w:hAnsiTheme="majorHAnsi" w:cstheme="majorHAnsi"/>
          <w:i/>
          <w:sz w:val="16"/>
          <w:szCs w:val="16"/>
        </w:rPr>
        <w:t xml:space="preserve"> el importe</w:t>
      </w:r>
      <w:r>
        <w:rPr>
          <w:rFonts w:asciiTheme="majorHAnsi" w:hAnsiTheme="majorHAnsi" w:cstheme="majorHAnsi"/>
          <w:i/>
          <w:sz w:val="16"/>
          <w:szCs w:val="16"/>
        </w:rPr>
        <w:t xml:space="preserve"> </w:t>
      </w:r>
      <w:r w:rsidRPr="00196650">
        <w:rPr>
          <w:rFonts w:asciiTheme="majorHAnsi" w:hAnsiTheme="majorHAnsi" w:cstheme="majorHAnsi"/>
          <w:i/>
          <w:sz w:val="16"/>
          <w:szCs w:val="16"/>
        </w:rPr>
        <w:t xml:space="preserve">y dictar separadamente resolución de inicio del procedimiento requiriendo la garantía y una vez verificada su constitución, dictar acto de adjudicación del contrato basado. La garantía responderá de los conceptos regulados en el PCA del Acuerdo Marco (Cláusulas 14, 18 y </w:t>
      </w:r>
      <w:r w:rsidRPr="00E82656">
        <w:rPr>
          <w:rFonts w:asciiTheme="majorHAnsi" w:hAnsiTheme="majorHAnsi" w:cstheme="majorHAnsi"/>
          <w:i/>
          <w:sz w:val="16"/>
          <w:szCs w:val="16"/>
        </w:rPr>
        <w:t>21.6) y no podrá superar el 5% del valor estimado</w:t>
      </w:r>
      <w:r w:rsidR="00E82656" w:rsidRPr="00E82656">
        <w:rPr>
          <w:rFonts w:asciiTheme="majorHAnsi" w:hAnsiTheme="majorHAnsi" w:cstheme="majorHAnsi"/>
          <w:i/>
          <w:sz w:val="16"/>
          <w:szCs w:val="16"/>
        </w:rPr>
        <w:t xml:space="preserve">. </w:t>
      </w:r>
      <w:r w:rsidRPr="00196650">
        <w:rPr>
          <w:rFonts w:asciiTheme="majorHAnsi" w:hAnsiTheme="majorHAnsi" w:cstheme="majorHAnsi"/>
          <w:i/>
          <w:sz w:val="16"/>
          <w:szCs w:val="16"/>
        </w:rPr>
        <w:t>La no acreditación en plazo de la constitución de la garantía implicará la renuncia del adjudicatario al Contrato basado y la posibilidad de la Central de Contratación de la FEMP de aplicar las penalidades previstas en la cláusula 18 del PCA del Acuerdo Marco.</w:t>
      </w:r>
      <w:bookmarkEnd w:id="5"/>
    </w:p>
    <w:p w14:paraId="15830E84" w14:textId="3568F148" w:rsidR="00196650" w:rsidRDefault="0019665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F1A8" w14:textId="77777777" w:rsidR="00DE2C1E" w:rsidRDefault="00634A01">
    <w:pPr>
      <w:pStyle w:val="Encabezado"/>
    </w:pPr>
    <w:r>
      <w:rPr>
        <w:noProof/>
      </w:rPr>
      <w:pict w14:anchorId="1F604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8" o:spid="_x0000_s1029" type="#_x0000_t136" style="position:absolute;margin-left:0;margin-top:0;width:419.65pt;height:179.85pt;rotation:315;z-index:-251655168;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FCD4" w14:textId="19373477" w:rsidR="00DE2C1E" w:rsidRDefault="0078463C">
    <w:pPr>
      <w:pStyle w:val="Encabezado"/>
    </w:pPr>
    <w:r>
      <w:rPr>
        <w:noProof/>
      </w:rPr>
      <w:drawing>
        <wp:anchor distT="0" distB="0" distL="114300" distR="114300" simplePos="0" relativeHeight="251665408" behindDoc="1" locked="0" layoutInCell="1" allowOverlap="1" wp14:anchorId="75E47E50" wp14:editId="67DA5A24">
          <wp:simplePos x="0" y="0"/>
          <wp:positionH relativeFrom="column">
            <wp:posOffset>-1003935</wp:posOffset>
          </wp:positionH>
          <wp:positionV relativeFrom="paragraph">
            <wp:posOffset>-449580</wp:posOffset>
          </wp:positionV>
          <wp:extent cx="7562850" cy="1123950"/>
          <wp:effectExtent l="0" t="0" r="0" b="0"/>
          <wp:wrapNone/>
          <wp:docPr id="2080372536" name="Imagen 2080372536"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A01">
      <w:rPr>
        <w:noProof/>
      </w:rPr>
      <w:pict w14:anchorId="4B9D6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9" o:spid="_x0000_s1030" type="#_x0000_t136" style="position:absolute;margin-left:0;margin-top:0;width:419.65pt;height:179.85pt;rotation:315;z-index:-25165312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2F87" w14:textId="77777777" w:rsidR="00DE2C1E" w:rsidRDefault="00634A01">
    <w:pPr>
      <w:pStyle w:val="Encabezado"/>
    </w:pPr>
    <w:r>
      <w:rPr>
        <w:noProof/>
      </w:rPr>
      <w:pict w14:anchorId="70169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567" o:spid="_x0000_s1028" type="#_x0000_t136" style="position:absolute;margin-left:0;margin-top:0;width:419.65pt;height:179.8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C82"/>
    <w:multiLevelType w:val="hybridMultilevel"/>
    <w:tmpl w:val="1E8C4E40"/>
    <w:lvl w:ilvl="0" w:tplc="E2382FC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BD1F0A"/>
    <w:multiLevelType w:val="hybridMultilevel"/>
    <w:tmpl w:val="DB96A9D6"/>
    <w:lvl w:ilvl="0" w:tplc="EC7040A0">
      <w:numFmt w:val="bullet"/>
      <w:lvlText w:val="-"/>
      <w:lvlJc w:val="left"/>
      <w:pPr>
        <w:ind w:left="1440" w:hanging="360"/>
      </w:pPr>
      <w:rPr>
        <w:rFonts w:ascii="Times New Roman" w:eastAsia="Calibr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B6842E1"/>
    <w:multiLevelType w:val="hybridMultilevel"/>
    <w:tmpl w:val="DA045740"/>
    <w:lvl w:ilvl="0" w:tplc="C13A889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B2C88"/>
    <w:multiLevelType w:val="hybridMultilevel"/>
    <w:tmpl w:val="36D858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32800"/>
    <w:multiLevelType w:val="hybridMultilevel"/>
    <w:tmpl w:val="7C36C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9D196D"/>
    <w:multiLevelType w:val="hybridMultilevel"/>
    <w:tmpl w:val="752449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2D28B2"/>
    <w:multiLevelType w:val="hybridMultilevel"/>
    <w:tmpl w:val="ACE42D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3E4D43"/>
    <w:multiLevelType w:val="hybridMultilevel"/>
    <w:tmpl w:val="60365DF4"/>
    <w:lvl w:ilvl="0" w:tplc="E2CC41E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F7449"/>
    <w:multiLevelType w:val="hybridMultilevel"/>
    <w:tmpl w:val="1430B24A"/>
    <w:lvl w:ilvl="0" w:tplc="1F7085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CB23BA"/>
    <w:multiLevelType w:val="hybridMultilevel"/>
    <w:tmpl w:val="ACE42D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636AE8"/>
    <w:multiLevelType w:val="hybridMultilevel"/>
    <w:tmpl w:val="E6A62C8E"/>
    <w:lvl w:ilvl="0" w:tplc="0C0A0001">
      <w:start w:val="1"/>
      <w:numFmt w:val="bullet"/>
      <w:lvlText w:val=""/>
      <w:lvlJc w:val="left"/>
      <w:pPr>
        <w:ind w:left="720" w:hanging="360"/>
      </w:pPr>
      <w:rPr>
        <w:rFonts w:ascii="Symbol" w:hAnsi="Symbol" w:hint="default"/>
      </w:rPr>
    </w:lvl>
    <w:lvl w:ilvl="1" w:tplc="BC8AA82E">
      <w:numFmt w:val="bullet"/>
      <w:lvlText w:val="•"/>
      <w:lvlJc w:val="left"/>
      <w:pPr>
        <w:ind w:left="1637"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8B4F72"/>
    <w:multiLevelType w:val="hybridMultilevel"/>
    <w:tmpl w:val="147C3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1A2748"/>
    <w:multiLevelType w:val="hybridMultilevel"/>
    <w:tmpl w:val="A64E9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A07F96"/>
    <w:multiLevelType w:val="hybridMultilevel"/>
    <w:tmpl w:val="D15E816C"/>
    <w:lvl w:ilvl="0" w:tplc="EC7040A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8499F"/>
    <w:multiLevelType w:val="hybridMultilevel"/>
    <w:tmpl w:val="3CC4AC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8B1010F"/>
    <w:multiLevelType w:val="hybridMultilevel"/>
    <w:tmpl w:val="2AF0C02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8F36278"/>
    <w:multiLevelType w:val="hybridMultilevel"/>
    <w:tmpl w:val="C1BCF59C"/>
    <w:lvl w:ilvl="0" w:tplc="AC7C9CC6">
      <w:start w:val="1"/>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F402DA"/>
    <w:multiLevelType w:val="hybridMultilevel"/>
    <w:tmpl w:val="C64CE01E"/>
    <w:lvl w:ilvl="0" w:tplc="839ECF5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CE4475"/>
    <w:multiLevelType w:val="hybridMultilevel"/>
    <w:tmpl w:val="A888EDE2"/>
    <w:lvl w:ilvl="0" w:tplc="AFFCD846">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E887B21"/>
    <w:multiLevelType w:val="hybridMultilevel"/>
    <w:tmpl w:val="DC2E57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5E7161FE"/>
    <w:multiLevelType w:val="hybridMultilevel"/>
    <w:tmpl w:val="0D8067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F32C29"/>
    <w:multiLevelType w:val="hybridMultilevel"/>
    <w:tmpl w:val="B4884D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ADC46D3"/>
    <w:multiLevelType w:val="hybridMultilevel"/>
    <w:tmpl w:val="A64E9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2C38B0"/>
    <w:multiLevelType w:val="hybridMultilevel"/>
    <w:tmpl w:val="D3749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454453"/>
    <w:multiLevelType w:val="hybridMultilevel"/>
    <w:tmpl w:val="BDF296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73097476">
    <w:abstractNumId w:val="9"/>
  </w:num>
  <w:num w:numId="2" w16cid:durableId="1737166999">
    <w:abstractNumId w:val="4"/>
  </w:num>
  <w:num w:numId="3" w16cid:durableId="1341855359">
    <w:abstractNumId w:val="6"/>
  </w:num>
  <w:num w:numId="4" w16cid:durableId="2137333332">
    <w:abstractNumId w:val="0"/>
  </w:num>
  <w:num w:numId="5" w16cid:durableId="78722966">
    <w:abstractNumId w:val="23"/>
  </w:num>
  <w:num w:numId="6" w16cid:durableId="1802963900">
    <w:abstractNumId w:val="13"/>
  </w:num>
  <w:num w:numId="7" w16cid:durableId="248540583">
    <w:abstractNumId w:val="24"/>
  </w:num>
  <w:num w:numId="8" w16cid:durableId="1153136777">
    <w:abstractNumId w:val="20"/>
  </w:num>
  <w:num w:numId="9" w16cid:durableId="383603302">
    <w:abstractNumId w:val="18"/>
  </w:num>
  <w:num w:numId="10" w16cid:durableId="423496991">
    <w:abstractNumId w:val="8"/>
  </w:num>
  <w:num w:numId="11" w16cid:durableId="1115177588">
    <w:abstractNumId w:val="7"/>
  </w:num>
  <w:num w:numId="12" w16cid:durableId="2072343406">
    <w:abstractNumId w:val="2"/>
  </w:num>
  <w:num w:numId="13" w16cid:durableId="1423187400">
    <w:abstractNumId w:val="15"/>
  </w:num>
  <w:num w:numId="14" w16cid:durableId="373038988">
    <w:abstractNumId w:val="8"/>
  </w:num>
  <w:num w:numId="15" w16cid:durableId="1402099215">
    <w:abstractNumId w:val="14"/>
  </w:num>
  <w:num w:numId="16" w16cid:durableId="205486376">
    <w:abstractNumId w:val="19"/>
  </w:num>
  <w:num w:numId="17" w16cid:durableId="286401992">
    <w:abstractNumId w:val="10"/>
  </w:num>
  <w:num w:numId="18" w16cid:durableId="1452281962">
    <w:abstractNumId w:val="16"/>
  </w:num>
  <w:num w:numId="19" w16cid:durableId="950169533">
    <w:abstractNumId w:val="1"/>
  </w:num>
  <w:num w:numId="20" w16cid:durableId="649136923">
    <w:abstractNumId w:val="5"/>
  </w:num>
  <w:num w:numId="21" w16cid:durableId="1423526869">
    <w:abstractNumId w:val="22"/>
  </w:num>
  <w:num w:numId="22" w16cid:durableId="831599346">
    <w:abstractNumId w:val="12"/>
  </w:num>
  <w:num w:numId="23" w16cid:durableId="1767769932">
    <w:abstractNumId w:val="3"/>
  </w:num>
  <w:num w:numId="24" w16cid:durableId="1125737850">
    <w:abstractNumId w:val="17"/>
  </w:num>
  <w:num w:numId="25" w16cid:durableId="528183706">
    <w:abstractNumId w:val="21"/>
  </w:num>
  <w:num w:numId="26" w16cid:durableId="83572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45"/>
    <w:rsid w:val="00001C73"/>
    <w:rsid w:val="00003817"/>
    <w:rsid w:val="00004AFB"/>
    <w:rsid w:val="00007489"/>
    <w:rsid w:val="000102C7"/>
    <w:rsid w:val="00016D4A"/>
    <w:rsid w:val="00022A51"/>
    <w:rsid w:val="0002377C"/>
    <w:rsid w:val="000439D7"/>
    <w:rsid w:val="00065751"/>
    <w:rsid w:val="00066931"/>
    <w:rsid w:val="00074C2B"/>
    <w:rsid w:val="00075DBB"/>
    <w:rsid w:val="0008121B"/>
    <w:rsid w:val="00083042"/>
    <w:rsid w:val="000847E7"/>
    <w:rsid w:val="00090666"/>
    <w:rsid w:val="000C0400"/>
    <w:rsid w:val="000C6037"/>
    <w:rsid w:val="000D627B"/>
    <w:rsid w:val="000E339F"/>
    <w:rsid w:val="000F1055"/>
    <w:rsid w:val="001076AA"/>
    <w:rsid w:val="00110B6A"/>
    <w:rsid w:val="00125A8E"/>
    <w:rsid w:val="001276C2"/>
    <w:rsid w:val="00132802"/>
    <w:rsid w:val="001575F7"/>
    <w:rsid w:val="00157921"/>
    <w:rsid w:val="00192950"/>
    <w:rsid w:val="00196650"/>
    <w:rsid w:val="001A1E2F"/>
    <w:rsid w:val="001B0D2D"/>
    <w:rsid w:val="001B1023"/>
    <w:rsid w:val="001C0295"/>
    <w:rsid w:val="001C121A"/>
    <w:rsid w:val="001C5D50"/>
    <w:rsid w:val="001E2BE5"/>
    <w:rsid w:val="001E6435"/>
    <w:rsid w:val="001F4FAA"/>
    <w:rsid w:val="00202B1B"/>
    <w:rsid w:val="00203C62"/>
    <w:rsid w:val="002053E6"/>
    <w:rsid w:val="002234D4"/>
    <w:rsid w:val="00233578"/>
    <w:rsid w:val="00241F04"/>
    <w:rsid w:val="002453FF"/>
    <w:rsid w:val="00247470"/>
    <w:rsid w:val="00261527"/>
    <w:rsid w:val="00270ED4"/>
    <w:rsid w:val="00277F63"/>
    <w:rsid w:val="002913A0"/>
    <w:rsid w:val="00292A02"/>
    <w:rsid w:val="002A3E96"/>
    <w:rsid w:val="002A691B"/>
    <w:rsid w:val="002B0F1F"/>
    <w:rsid w:val="002D0EC7"/>
    <w:rsid w:val="002D68EB"/>
    <w:rsid w:val="002E0276"/>
    <w:rsid w:val="002E601F"/>
    <w:rsid w:val="002F2E8E"/>
    <w:rsid w:val="002F4321"/>
    <w:rsid w:val="00306925"/>
    <w:rsid w:val="00324238"/>
    <w:rsid w:val="00332D9F"/>
    <w:rsid w:val="00343B3B"/>
    <w:rsid w:val="003600FE"/>
    <w:rsid w:val="003657DE"/>
    <w:rsid w:val="0037361E"/>
    <w:rsid w:val="00383A35"/>
    <w:rsid w:val="003851DF"/>
    <w:rsid w:val="003A215A"/>
    <w:rsid w:val="003C40EB"/>
    <w:rsid w:val="003D3E7A"/>
    <w:rsid w:val="003E6078"/>
    <w:rsid w:val="003E6C0B"/>
    <w:rsid w:val="003F72F9"/>
    <w:rsid w:val="004117BB"/>
    <w:rsid w:val="00414174"/>
    <w:rsid w:val="00414FD6"/>
    <w:rsid w:val="00421CA9"/>
    <w:rsid w:val="004334F8"/>
    <w:rsid w:val="004354A2"/>
    <w:rsid w:val="00440A42"/>
    <w:rsid w:val="00446417"/>
    <w:rsid w:val="0046531D"/>
    <w:rsid w:val="00466DB9"/>
    <w:rsid w:val="00471F03"/>
    <w:rsid w:val="00472F7F"/>
    <w:rsid w:val="004928D0"/>
    <w:rsid w:val="00496C17"/>
    <w:rsid w:val="004A0281"/>
    <w:rsid w:val="004A2AE9"/>
    <w:rsid w:val="004A4008"/>
    <w:rsid w:val="004A7BC0"/>
    <w:rsid w:val="004B0161"/>
    <w:rsid w:val="004B7874"/>
    <w:rsid w:val="004B7D5E"/>
    <w:rsid w:val="004C5985"/>
    <w:rsid w:val="004D4C2B"/>
    <w:rsid w:val="004D500E"/>
    <w:rsid w:val="004E07ED"/>
    <w:rsid w:val="004F5D46"/>
    <w:rsid w:val="004F78CC"/>
    <w:rsid w:val="00500BAE"/>
    <w:rsid w:val="00512F2F"/>
    <w:rsid w:val="00517BCD"/>
    <w:rsid w:val="00520A26"/>
    <w:rsid w:val="0052222C"/>
    <w:rsid w:val="00523F47"/>
    <w:rsid w:val="00533EDC"/>
    <w:rsid w:val="005376FB"/>
    <w:rsid w:val="0054145D"/>
    <w:rsid w:val="00542703"/>
    <w:rsid w:val="005443BE"/>
    <w:rsid w:val="00546C25"/>
    <w:rsid w:val="005515B0"/>
    <w:rsid w:val="0055241B"/>
    <w:rsid w:val="00553510"/>
    <w:rsid w:val="00555D3C"/>
    <w:rsid w:val="005605CF"/>
    <w:rsid w:val="00564805"/>
    <w:rsid w:val="005703E1"/>
    <w:rsid w:val="00570C89"/>
    <w:rsid w:val="005C627E"/>
    <w:rsid w:val="005D2F3D"/>
    <w:rsid w:val="005E1DAD"/>
    <w:rsid w:val="005E7BCB"/>
    <w:rsid w:val="005E7EED"/>
    <w:rsid w:val="005F09CB"/>
    <w:rsid w:val="005F1579"/>
    <w:rsid w:val="005F2819"/>
    <w:rsid w:val="00601161"/>
    <w:rsid w:val="00601C3F"/>
    <w:rsid w:val="0060539C"/>
    <w:rsid w:val="006104F5"/>
    <w:rsid w:val="00634A01"/>
    <w:rsid w:val="0063795C"/>
    <w:rsid w:val="00642D9F"/>
    <w:rsid w:val="00662ED0"/>
    <w:rsid w:val="006756E5"/>
    <w:rsid w:val="0068395E"/>
    <w:rsid w:val="0069127B"/>
    <w:rsid w:val="006B71D3"/>
    <w:rsid w:val="006B7F71"/>
    <w:rsid w:val="006C1555"/>
    <w:rsid w:val="006C434E"/>
    <w:rsid w:val="006C4A11"/>
    <w:rsid w:val="006C733A"/>
    <w:rsid w:val="006D0F4C"/>
    <w:rsid w:val="0072681F"/>
    <w:rsid w:val="00741CA0"/>
    <w:rsid w:val="00760955"/>
    <w:rsid w:val="00763F61"/>
    <w:rsid w:val="00765A35"/>
    <w:rsid w:val="0078242F"/>
    <w:rsid w:val="00782E45"/>
    <w:rsid w:val="0078463C"/>
    <w:rsid w:val="00786017"/>
    <w:rsid w:val="007C0EF9"/>
    <w:rsid w:val="007C0F8F"/>
    <w:rsid w:val="007D4F2C"/>
    <w:rsid w:val="007E2F24"/>
    <w:rsid w:val="0080186C"/>
    <w:rsid w:val="00806413"/>
    <w:rsid w:val="00810D1D"/>
    <w:rsid w:val="00820070"/>
    <w:rsid w:val="00823127"/>
    <w:rsid w:val="008268B7"/>
    <w:rsid w:val="008561C2"/>
    <w:rsid w:val="00875336"/>
    <w:rsid w:val="008759C6"/>
    <w:rsid w:val="00880F0E"/>
    <w:rsid w:val="008820B6"/>
    <w:rsid w:val="00885283"/>
    <w:rsid w:val="0088601E"/>
    <w:rsid w:val="008A7E25"/>
    <w:rsid w:val="008B30E2"/>
    <w:rsid w:val="008B42B9"/>
    <w:rsid w:val="008D22F5"/>
    <w:rsid w:val="008E49A3"/>
    <w:rsid w:val="008F0AEF"/>
    <w:rsid w:val="00903AFE"/>
    <w:rsid w:val="009100B5"/>
    <w:rsid w:val="0091295F"/>
    <w:rsid w:val="009139B6"/>
    <w:rsid w:val="00925F3B"/>
    <w:rsid w:val="009326FD"/>
    <w:rsid w:val="0093367B"/>
    <w:rsid w:val="0093430A"/>
    <w:rsid w:val="00963B01"/>
    <w:rsid w:val="009669DE"/>
    <w:rsid w:val="00971869"/>
    <w:rsid w:val="00977CD2"/>
    <w:rsid w:val="00991B4E"/>
    <w:rsid w:val="009958CB"/>
    <w:rsid w:val="009A0AF1"/>
    <w:rsid w:val="009A1377"/>
    <w:rsid w:val="009A5DFD"/>
    <w:rsid w:val="009B15FA"/>
    <w:rsid w:val="009D23AA"/>
    <w:rsid w:val="009D5756"/>
    <w:rsid w:val="009D6F31"/>
    <w:rsid w:val="009E6DB2"/>
    <w:rsid w:val="009F0666"/>
    <w:rsid w:val="00A028B5"/>
    <w:rsid w:val="00A12C3E"/>
    <w:rsid w:val="00A162E3"/>
    <w:rsid w:val="00A20D46"/>
    <w:rsid w:val="00A42CFC"/>
    <w:rsid w:val="00A50226"/>
    <w:rsid w:val="00A50500"/>
    <w:rsid w:val="00A57B46"/>
    <w:rsid w:val="00A66B73"/>
    <w:rsid w:val="00A83781"/>
    <w:rsid w:val="00A920B3"/>
    <w:rsid w:val="00AB0333"/>
    <w:rsid w:val="00AB7D80"/>
    <w:rsid w:val="00AD0971"/>
    <w:rsid w:val="00AD7C1F"/>
    <w:rsid w:val="00AE2396"/>
    <w:rsid w:val="00AF20BD"/>
    <w:rsid w:val="00AF43D3"/>
    <w:rsid w:val="00AF73CA"/>
    <w:rsid w:val="00B079FA"/>
    <w:rsid w:val="00B142DA"/>
    <w:rsid w:val="00B1603A"/>
    <w:rsid w:val="00B2348E"/>
    <w:rsid w:val="00B35150"/>
    <w:rsid w:val="00B3611C"/>
    <w:rsid w:val="00B57C4A"/>
    <w:rsid w:val="00B57F32"/>
    <w:rsid w:val="00B60FC9"/>
    <w:rsid w:val="00B65A76"/>
    <w:rsid w:val="00B73666"/>
    <w:rsid w:val="00BB3909"/>
    <w:rsid w:val="00BB6E66"/>
    <w:rsid w:val="00BC66EE"/>
    <w:rsid w:val="00BD58FD"/>
    <w:rsid w:val="00BE0AD0"/>
    <w:rsid w:val="00BE7B48"/>
    <w:rsid w:val="00BF7403"/>
    <w:rsid w:val="00C079D9"/>
    <w:rsid w:val="00C12A43"/>
    <w:rsid w:val="00C20F47"/>
    <w:rsid w:val="00C3716E"/>
    <w:rsid w:val="00C373B5"/>
    <w:rsid w:val="00C409B8"/>
    <w:rsid w:val="00C63F13"/>
    <w:rsid w:val="00C77649"/>
    <w:rsid w:val="00C800B0"/>
    <w:rsid w:val="00C915D9"/>
    <w:rsid w:val="00C92A43"/>
    <w:rsid w:val="00C92EB8"/>
    <w:rsid w:val="00CB2943"/>
    <w:rsid w:val="00CE6B3F"/>
    <w:rsid w:val="00CF3A5E"/>
    <w:rsid w:val="00D02329"/>
    <w:rsid w:val="00D15D59"/>
    <w:rsid w:val="00D20839"/>
    <w:rsid w:val="00D43A69"/>
    <w:rsid w:val="00D46382"/>
    <w:rsid w:val="00D5411C"/>
    <w:rsid w:val="00D56EC3"/>
    <w:rsid w:val="00D71C36"/>
    <w:rsid w:val="00D847DD"/>
    <w:rsid w:val="00D86DA9"/>
    <w:rsid w:val="00D931B4"/>
    <w:rsid w:val="00D93F2D"/>
    <w:rsid w:val="00D9591E"/>
    <w:rsid w:val="00DA4EE6"/>
    <w:rsid w:val="00DB0E0F"/>
    <w:rsid w:val="00DB2FC3"/>
    <w:rsid w:val="00DC2E52"/>
    <w:rsid w:val="00DC3574"/>
    <w:rsid w:val="00DC5BD0"/>
    <w:rsid w:val="00DD561E"/>
    <w:rsid w:val="00DE2C1E"/>
    <w:rsid w:val="00DE502C"/>
    <w:rsid w:val="00E059AD"/>
    <w:rsid w:val="00E14D8E"/>
    <w:rsid w:val="00E60B6A"/>
    <w:rsid w:val="00E740C7"/>
    <w:rsid w:val="00E82656"/>
    <w:rsid w:val="00E858E6"/>
    <w:rsid w:val="00E933DA"/>
    <w:rsid w:val="00E95CF5"/>
    <w:rsid w:val="00EA2B41"/>
    <w:rsid w:val="00EC1405"/>
    <w:rsid w:val="00EC706E"/>
    <w:rsid w:val="00EE42D3"/>
    <w:rsid w:val="00EE576A"/>
    <w:rsid w:val="00EF5439"/>
    <w:rsid w:val="00F03020"/>
    <w:rsid w:val="00F13439"/>
    <w:rsid w:val="00F30978"/>
    <w:rsid w:val="00F42EB7"/>
    <w:rsid w:val="00F5621A"/>
    <w:rsid w:val="00F623AF"/>
    <w:rsid w:val="00F6753C"/>
    <w:rsid w:val="00F67BA5"/>
    <w:rsid w:val="00F74E17"/>
    <w:rsid w:val="00F84537"/>
    <w:rsid w:val="00F9683B"/>
    <w:rsid w:val="00FB127D"/>
    <w:rsid w:val="00FB3374"/>
    <w:rsid w:val="00FB6EA9"/>
    <w:rsid w:val="00FC1219"/>
    <w:rsid w:val="00FC57FD"/>
    <w:rsid w:val="00FC764B"/>
    <w:rsid w:val="00FD06AF"/>
    <w:rsid w:val="00FD5B16"/>
    <w:rsid w:val="00FE015B"/>
    <w:rsid w:val="00FE080C"/>
    <w:rsid w:val="00FF4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976E68"/>
  <w15:docId w15:val="{3CC8BA95-80E9-49A5-AAF7-2B8B38E8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
    <w:basedOn w:val="Normal"/>
    <w:link w:val="PrrafodelistaCar"/>
    <w:uiPriority w:val="1"/>
    <w:qFormat/>
    <w:rsid w:val="009100B5"/>
    <w:pPr>
      <w:ind w:left="720"/>
      <w:contextualSpacing/>
    </w:pPr>
  </w:style>
  <w:style w:type="paragraph" w:styleId="NormalWeb">
    <w:name w:val="Normal (Web)"/>
    <w:basedOn w:val="Normal"/>
    <w:uiPriority w:val="99"/>
    <w:unhideWhenUsed/>
    <w:rsid w:val="002B0F1F"/>
    <w:pPr>
      <w:spacing w:before="100" w:beforeAutospacing="1" w:after="100" w:afterAutospacing="1" w:line="240" w:lineRule="auto"/>
    </w:pPr>
    <w:rPr>
      <w:rFonts w:ascii="Times New Roman" w:eastAsia="MS Mincho" w:hAnsi="Times New Roman" w:cs="Times New Roman"/>
      <w:sz w:val="24"/>
      <w:szCs w:val="24"/>
      <w:lang w:eastAsia="es-ES"/>
    </w:rPr>
  </w:style>
  <w:style w:type="character" w:customStyle="1" w:styleId="PrrafodelistaCar">
    <w:name w:val="Párrafo de lista Car"/>
    <w:aliases w:val="Bullet List Car"/>
    <w:basedOn w:val="Fuentedeprrafopredeter"/>
    <w:link w:val="Prrafodelista"/>
    <w:uiPriority w:val="1"/>
    <w:qFormat/>
    <w:rsid w:val="00875336"/>
  </w:style>
  <w:style w:type="paragraph" w:styleId="Textodeglobo">
    <w:name w:val="Balloon Text"/>
    <w:basedOn w:val="Normal"/>
    <w:link w:val="TextodegloboCar"/>
    <w:uiPriority w:val="99"/>
    <w:semiHidden/>
    <w:unhideWhenUsed/>
    <w:rsid w:val="006C4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34E"/>
    <w:rPr>
      <w:rFonts w:ascii="Tahoma" w:hAnsi="Tahoma" w:cs="Tahoma"/>
      <w:sz w:val="16"/>
      <w:szCs w:val="16"/>
    </w:rPr>
  </w:style>
  <w:style w:type="paragraph" w:styleId="Textonotapie">
    <w:name w:val="footnote text"/>
    <w:basedOn w:val="Normal"/>
    <w:link w:val="TextonotapieCar"/>
    <w:uiPriority w:val="99"/>
    <w:semiHidden/>
    <w:unhideWhenUsed/>
    <w:rsid w:val="00472F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2F7F"/>
    <w:rPr>
      <w:sz w:val="20"/>
      <w:szCs w:val="20"/>
    </w:rPr>
  </w:style>
  <w:style w:type="character" w:styleId="Refdenotaalpie">
    <w:name w:val="footnote reference"/>
    <w:basedOn w:val="Fuentedeprrafopredeter"/>
    <w:uiPriority w:val="99"/>
    <w:semiHidden/>
    <w:unhideWhenUsed/>
    <w:rsid w:val="00472F7F"/>
    <w:rPr>
      <w:vertAlign w:val="superscript"/>
    </w:rPr>
  </w:style>
  <w:style w:type="paragraph" w:styleId="Encabezado">
    <w:name w:val="header"/>
    <w:basedOn w:val="Normal"/>
    <w:link w:val="EncabezadoCar"/>
    <w:uiPriority w:val="99"/>
    <w:unhideWhenUsed/>
    <w:rsid w:val="00DE2C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C1E"/>
  </w:style>
  <w:style w:type="paragraph" w:styleId="Piedepgina">
    <w:name w:val="footer"/>
    <w:basedOn w:val="Normal"/>
    <w:link w:val="PiedepginaCar"/>
    <w:uiPriority w:val="99"/>
    <w:unhideWhenUsed/>
    <w:rsid w:val="00DE2C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C1E"/>
  </w:style>
  <w:style w:type="table" w:styleId="Tablaconcuadrcula">
    <w:name w:val="Table Grid"/>
    <w:basedOn w:val="Tablanormal"/>
    <w:uiPriority w:val="39"/>
    <w:rsid w:val="00EF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04F5"/>
    <w:rPr>
      <w:color w:val="808080"/>
    </w:rPr>
  </w:style>
  <w:style w:type="character" w:styleId="Refdecomentario">
    <w:name w:val="annotation reference"/>
    <w:basedOn w:val="Fuentedeprrafopredeter"/>
    <w:uiPriority w:val="99"/>
    <w:semiHidden/>
    <w:unhideWhenUsed/>
    <w:rsid w:val="0093367B"/>
    <w:rPr>
      <w:sz w:val="16"/>
      <w:szCs w:val="16"/>
    </w:rPr>
  </w:style>
  <w:style w:type="paragraph" w:styleId="Textocomentario">
    <w:name w:val="annotation text"/>
    <w:basedOn w:val="Normal"/>
    <w:link w:val="TextocomentarioCar"/>
    <w:uiPriority w:val="99"/>
    <w:semiHidden/>
    <w:unhideWhenUsed/>
    <w:rsid w:val="009336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367B"/>
    <w:rPr>
      <w:sz w:val="20"/>
      <w:szCs w:val="20"/>
    </w:rPr>
  </w:style>
  <w:style w:type="paragraph" w:styleId="Asuntodelcomentario">
    <w:name w:val="annotation subject"/>
    <w:basedOn w:val="Textocomentario"/>
    <w:next w:val="Textocomentario"/>
    <w:link w:val="AsuntodelcomentarioCar"/>
    <w:uiPriority w:val="99"/>
    <w:semiHidden/>
    <w:unhideWhenUsed/>
    <w:rsid w:val="0093367B"/>
    <w:rPr>
      <w:b/>
      <w:bCs/>
    </w:rPr>
  </w:style>
  <w:style w:type="character" w:customStyle="1" w:styleId="AsuntodelcomentarioCar">
    <w:name w:val="Asunto del comentario Car"/>
    <w:basedOn w:val="TextocomentarioCar"/>
    <w:link w:val="Asuntodelcomentario"/>
    <w:uiPriority w:val="99"/>
    <w:semiHidden/>
    <w:rsid w:val="0093367B"/>
    <w:rPr>
      <w:b/>
      <w:bCs/>
      <w:sz w:val="20"/>
      <w:szCs w:val="20"/>
    </w:rPr>
  </w:style>
  <w:style w:type="paragraph" w:customStyle="1" w:styleId="Default">
    <w:name w:val="Default"/>
    <w:rsid w:val="009D23AA"/>
    <w:pPr>
      <w:autoSpaceDE w:val="0"/>
      <w:autoSpaceDN w:val="0"/>
      <w:adjustRightInd w:val="0"/>
      <w:spacing w:after="0" w:line="240" w:lineRule="auto"/>
    </w:pPr>
    <w:rPr>
      <w:rFonts w:ascii="Symbol" w:hAnsi="Symbol" w:cs="Symbol"/>
      <w:color w:val="000000"/>
      <w:sz w:val="24"/>
      <w:szCs w:val="24"/>
    </w:rPr>
  </w:style>
  <w:style w:type="paragraph" w:styleId="Revisin">
    <w:name w:val="Revision"/>
    <w:hidden/>
    <w:uiPriority w:val="99"/>
    <w:semiHidden/>
    <w:rsid w:val="00FD0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7685">
      <w:bodyDiv w:val="1"/>
      <w:marLeft w:val="0"/>
      <w:marRight w:val="0"/>
      <w:marTop w:val="0"/>
      <w:marBottom w:val="0"/>
      <w:divBdr>
        <w:top w:val="none" w:sz="0" w:space="0" w:color="auto"/>
        <w:left w:val="none" w:sz="0" w:space="0" w:color="auto"/>
        <w:bottom w:val="none" w:sz="0" w:space="0" w:color="auto"/>
        <w:right w:val="none" w:sz="0" w:space="0" w:color="auto"/>
      </w:divBdr>
    </w:div>
    <w:div w:id="6842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JURIDICO!800941819.1</documentid>
  <senderid>MA1167</senderid>
  <senderemail>MREY@GA-P.COM</senderemail>
  <lastmodified>2024-05-30T18:49:00.0000000+02:00</lastmodified>
  <database>JURIDICO</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591A2-C23D-4C82-9851-1238E8743C01}">
  <ds:schemaRefs>
    <ds:schemaRef ds:uri="http://www.imanage.com/work/xmlschema"/>
  </ds:schemaRefs>
</ds:datastoreItem>
</file>

<file path=customXml/itemProps2.xml><?xml version="1.0" encoding="utf-8"?>
<ds:datastoreItem xmlns:ds="http://schemas.openxmlformats.org/officeDocument/2006/customXml" ds:itemID="{2159352C-3AA2-4241-BF8E-A8B8C339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2279</Words>
  <Characters>12540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Dorta</dc:creator>
  <cp:keywords/>
  <dc:description/>
  <cp:lastModifiedBy>Sofía Fernández Gosálvez</cp:lastModifiedBy>
  <cp:revision>75</cp:revision>
  <cp:lastPrinted>2017-01-11T12:57:00Z</cp:lastPrinted>
  <dcterms:created xsi:type="dcterms:W3CDTF">2024-05-30T16:11:00Z</dcterms:created>
  <dcterms:modified xsi:type="dcterms:W3CDTF">2026-04-29T07:21:00Z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2024-05-30T16:11:13Z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348fb3c5-fdfa-46e0-b880-573ed11dc31b</vt:lpwstr>
  </property>
  <property fmtid="{D5CDD505-2E9C-101B-9397-08002B2CF9AE}" pid="8" name="MSIP_Label_ec2e2fbc-c146-47f5-9855-44b2ad8bbb6d_ContentBits">
    <vt:lpwstr>0</vt:lpwstr>
  </property>
</Properties>
</file>